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B7EAF" w14:textId="23F00459" w:rsidR="00333CE6" w:rsidRPr="00BE7BD0" w:rsidRDefault="00333CE6" w:rsidP="00333CE6">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#112bis-e                                                              R1</w:t>
      </w:r>
      <w:r w:rsidRPr="00BE7BD0">
        <w:rPr>
          <w:b/>
          <w:noProof/>
          <w:sz w:val="24"/>
        </w:rPr>
        <w:t>-</w:t>
      </w:r>
      <w:r w:rsidR="006362D2" w:rsidRPr="006362D2">
        <w:rPr>
          <w:b/>
          <w:bCs/>
          <w:noProof/>
          <w:sz w:val="24"/>
          <w:lang w:val="en-US"/>
        </w:rPr>
        <w:t>2303509</w:t>
      </w:r>
      <w:r>
        <w:rPr>
          <w:b/>
          <w:i/>
          <w:noProof/>
          <w:sz w:val="28"/>
        </w:rPr>
        <w:tab/>
      </w:r>
    </w:p>
    <w:p w14:paraId="5907E1CE" w14:textId="77777777" w:rsidR="00333CE6" w:rsidRPr="009E56BE" w:rsidRDefault="00333CE6" w:rsidP="00333CE6">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e-Meeting</w:t>
      </w:r>
      <w:r w:rsidRPr="009E56BE">
        <w:rPr>
          <w:rFonts w:ascii="Arial" w:eastAsia="MS Mincho" w:hAnsi="Arial" w:cs="Arial"/>
          <w:b/>
          <w:bCs/>
          <w:szCs w:val="22"/>
          <w:lang w:val="en-GB"/>
        </w:rPr>
        <w:t xml:space="preserve">, </w:t>
      </w:r>
      <w:r>
        <w:rPr>
          <w:rFonts w:ascii="Arial" w:eastAsia="MS Mincho" w:hAnsi="Arial" w:cs="Arial"/>
          <w:b/>
          <w:bCs/>
          <w:szCs w:val="22"/>
          <w:lang w:val="en-GB"/>
        </w:rPr>
        <w:t>April</w:t>
      </w:r>
      <w:r w:rsidRPr="009E56BE">
        <w:rPr>
          <w:rFonts w:ascii="Arial" w:eastAsia="MS Mincho" w:hAnsi="Arial" w:cs="Arial"/>
          <w:b/>
          <w:bCs/>
          <w:szCs w:val="22"/>
          <w:lang w:val="en-GB"/>
        </w:rPr>
        <w:t xml:space="preserve"> </w:t>
      </w:r>
      <w:r>
        <w:rPr>
          <w:rFonts w:ascii="Arial" w:eastAsia="MS Mincho" w:hAnsi="Arial" w:cs="Arial"/>
          <w:b/>
          <w:bCs/>
          <w:szCs w:val="22"/>
          <w:lang w:val="en-GB"/>
        </w:rPr>
        <w:t>1</w:t>
      </w:r>
      <w:r w:rsidRPr="009E56BE">
        <w:rPr>
          <w:rFonts w:ascii="Arial" w:eastAsia="MS Mincho" w:hAnsi="Arial" w:cs="Arial"/>
          <w:b/>
          <w:bCs/>
          <w:szCs w:val="22"/>
          <w:lang w:val="en-GB"/>
        </w:rPr>
        <w:t>7</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April</w:t>
      </w:r>
      <w:r w:rsidRPr="009E56BE">
        <w:rPr>
          <w:rFonts w:ascii="Arial" w:eastAsia="MS Mincho" w:hAnsi="Arial" w:cs="Arial"/>
          <w:b/>
          <w:bCs/>
          <w:szCs w:val="22"/>
          <w:lang w:val="en-GB"/>
        </w:rPr>
        <w:t xml:space="preserve"> </w:t>
      </w:r>
      <w:r>
        <w:rPr>
          <w:rFonts w:ascii="Arial" w:eastAsia="MS Mincho" w:hAnsi="Arial" w:cs="Arial"/>
          <w:b/>
          <w:bCs/>
          <w:szCs w:val="22"/>
          <w:lang w:val="en-GB"/>
        </w:rPr>
        <w:t>26</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0463C1A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D757D2">
        <w:rPr>
          <w:sz w:val="22"/>
          <w:szCs w:val="22"/>
        </w:rPr>
        <w:t>1</w:t>
      </w:r>
      <w:r w:rsidR="004531A0">
        <w:rPr>
          <w:sz w:val="22"/>
          <w:szCs w:val="22"/>
        </w:rPr>
        <w:t>2</w:t>
      </w:r>
      <w:r w:rsidR="007A41E3">
        <w:rPr>
          <w:sz w:val="22"/>
          <w:szCs w:val="22"/>
        </w:rPr>
        <w:t>.</w:t>
      </w:r>
      <w:r w:rsidR="00D757D2">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D09539A" w:rsidR="00B23EB7" w:rsidRDefault="00B23EB7" w:rsidP="00B23EB7">
      <w:pPr>
        <w:pStyle w:val="3GPPHeader"/>
        <w:rPr>
          <w:sz w:val="22"/>
          <w:szCs w:val="22"/>
        </w:rPr>
      </w:pPr>
      <w:r w:rsidRPr="00315C6E">
        <w:rPr>
          <w:sz w:val="22"/>
          <w:szCs w:val="22"/>
        </w:rPr>
        <w:t>Title:</w:t>
      </w:r>
      <w:r w:rsidRPr="00315C6E">
        <w:rPr>
          <w:sz w:val="22"/>
          <w:szCs w:val="22"/>
        </w:rPr>
        <w:tab/>
      </w:r>
      <w:r w:rsidR="00FE092A" w:rsidRPr="00FE092A">
        <w:rPr>
          <w:sz w:val="22"/>
          <w:szCs w:val="22"/>
        </w:rPr>
        <w:t>Discussion on power domain coverage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3C84C0E1" w14:textId="2B6A8DDD" w:rsidR="00D36836" w:rsidRDefault="00D36836" w:rsidP="00D36836">
      <w:pPr>
        <w:spacing w:after="120"/>
        <w:rPr>
          <w:rFonts w:eastAsia="SimSun"/>
          <w:noProof/>
          <w:sz w:val="20"/>
          <w:szCs w:val="20"/>
          <w:lang w:eastAsia="en-US"/>
        </w:rPr>
      </w:pPr>
      <w:r>
        <w:rPr>
          <w:rFonts w:eastAsia="SimSun"/>
          <w:noProof/>
          <w:sz w:val="20"/>
          <w:szCs w:val="20"/>
          <w:lang w:eastAsia="en-US"/>
        </w:rPr>
        <w:t xml:space="preserve">A new Rel-18 WI on further coverage enhancement [1] was approved in RAN#94e. </w:t>
      </w:r>
      <w:r w:rsidR="00F97F26">
        <w:rPr>
          <w:rFonts w:eastAsia="SimSun"/>
          <w:noProof/>
          <w:sz w:val="20"/>
          <w:szCs w:val="20"/>
          <w:lang w:eastAsia="en-US"/>
        </w:rPr>
        <w:t>O</w:t>
      </w:r>
      <w:r>
        <w:rPr>
          <w:rFonts w:eastAsia="SimSun"/>
          <w:noProof/>
          <w:sz w:val="20"/>
          <w:szCs w:val="20"/>
          <w:lang w:eastAsia="en-US"/>
        </w:rPr>
        <w:t>ne of the objectivce</w:t>
      </w:r>
      <w:r w:rsidR="00F97F26">
        <w:rPr>
          <w:rFonts w:eastAsia="SimSun"/>
          <w:noProof/>
          <w:sz w:val="20"/>
          <w:szCs w:val="20"/>
          <w:lang w:eastAsia="en-US"/>
        </w:rPr>
        <w:t>s</w:t>
      </w:r>
      <w:r>
        <w:rPr>
          <w:rFonts w:eastAsia="SimSun"/>
          <w:noProof/>
          <w:sz w:val="20"/>
          <w:szCs w:val="20"/>
          <w:lang w:eastAsia="en-US"/>
        </w:rPr>
        <w:t xml:space="preserve"> of this WI is to </w:t>
      </w:r>
      <w:r w:rsidR="00F97F26">
        <w:rPr>
          <w:rFonts w:eastAsia="SimSun"/>
          <w:noProof/>
          <w:sz w:val="20"/>
          <w:szCs w:val="20"/>
          <w:lang w:eastAsia="en-US"/>
        </w:rPr>
        <w:t>study and if needed specify power domain enhancements:</w:t>
      </w:r>
    </w:p>
    <w:p w14:paraId="4BE843B7" w14:textId="77777777" w:rsidR="00D36836" w:rsidRPr="00A26452" w:rsidRDefault="00D36836" w:rsidP="00D36836">
      <w:pPr>
        <w:numPr>
          <w:ilvl w:val="0"/>
          <w:numId w:val="24"/>
        </w:numPr>
        <w:spacing w:after="120"/>
        <w:rPr>
          <w:rFonts w:eastAsia="MS Mincho"/>
          <w:i/>
          <w:iCs/>
          <w:sz w:val="20"/>
          <w:szCs w:val="20"/>
          <w:lang w:eastAsia="ja-JP"/>
        </w:rPr>
      </w:pPr>
      <w:r w:rsidRPr="00A26452">
        <w:rPr>
          <w:rFonts w:eastAsia="MS Mincho"/>
          <w:i/>
          <w:iCs/>
          <w:sz w:val="20"/>
          <w:szCs w:val="20"/>
          <w:lang w:eastAsia="ja-JP"/>
        </w:rPr>
        <w:t xml:space="preserve">Study and if </w:t>
      </w:r>
      <w:proofErr w:type="gramStart"/>
      <w:r w:rsidRPr="00A26452">
        <w:rPr>
          <w:rFonts w:eastAsia="MS Mincho"/>
          <w:i/>
          <w:iCs/>
          <w:sz w:val="20"/>
          <w:szCs w:val="20"/>
          <w:lang w:eastAsia="ja-JP"/>
        </w:rPr>
        <w:t>necessary</w:t>
      </w:r>
      <w:proofErr w:type="gramEnd"/>
      <w:r w:rsidRPr="00A26452">
        <w:rPr>
          <w:rFonts w:eastAsia="MS Mincho"/>
          <w:i/>
          <w:iCs/>
          <w:sz w:val="20"/>
          <w:szCs w:val="20"/>
          <w:lang w:eastAsia="ja-JP"/>
        </w:rPr>
        <w:t xml:space="preserve"> specify following power domain enhancements</w:t>
      </w:r>
    </w:p>
    <w:p w14:paraId="287AA45D" w14:textId="77777777" w:rsidR="00D36836" w:rsidRPr="00A26452" w:rsidRDefault="00D36836" w:rsidP="00D36836">
      <w:pPr>
        <w:numPr>
          <w:ilvl w:val="1"/>
          <w:numId w:val="24"/>
        </w:numPr>
        <w:spacing w:after="120"/>
        <w:rPr>
          <w:rFonts w:eastAsia="MS Mincho"/>
          <w:i/>
          <w:iCs/>
          <w:sz w:val="20"/>
          <w:szCs w:val="20"/>
          <w:lang w:eastAsia="ja-JP"/>
        </w:rPr>
      </w:pPr>
      <w:r w:rsidRPr="00A26452">
        <w:rPr>
          <w:rFonts w:eastAsia="MS Mincho"/>
          <w:i/>
          <w:iCs/>
          <w:sz w:val="20"/>
          <w:szCs w:val="20"/>
          <w:lang w:eastAsia="ja-JP"/>
        </w:rPr>
        <w:t xml:space="preserve">Enhancements to realize </w:t>
      </w:r>
      <w:r w:rsidRPr="00A26452">
        <w:rPr>
          <w:rFonts w:eastAsia="MS Mincho" w:hint="eastAsia"/>
          <w:i/>
          <w:iCs/>
          <w:sz w:val="20"/>
          <w:szCs w:val="20"/>
          <w:lang w:eastAsia="ja-JP"/>
        </w:rPr>
        <w:t>i</w:t>
      </w:r>
      <w:r w:rsidRPr="00A26452">
        <w:rPr>
          <w:rFonts w:eastAsia="MS Mincho"/>
          <w:i/>
          <w:iCs/>
          <w:sz w:val="20"/>
          <w:szCs w:val="20"/>
          <w:lang w:eastAsia="ja-JP"/>
        </w:rPr>
        <w:t xml:space="preserve">ncreasing UE power high limit for CA and DC based on Rel-17 RAN4 work on “Increasing UE power high limit for CA and DC”, </w:t>
      </w:r>
      <w:r w:rsidRPr="00A26452">
        <w:rPr>
          <w:rFonts w:eastAsia="MS Mincho" w:hint="eastAsia"/>
          <w:i/>
          <w:iCs/>
          <w:sz w:val="20"/>
          <w:szCs w:val="20"/>
          <w:lang w:eastAsia="ja-JP"/>
        </w:rPr>
        <w:t xml:space="preserve">in compliance with </w:t>
      </w:r>
      <w:r w:rsidRPr="00A26452">
        <w:rPr>
          <w:rFonts w:eastAsia="MS Mincho"/>
          <w:i/>
          <w:iCs/>
          <w:sz w:val="20"/>
          <w:szCs w:val="20"/>
          <w:lang w:eastAsia="ja-JP"/>
        </w:rPr>
        <w:t>relevant regulations (RAN4, RAN1)</w:t>
      </w:r>
    </w:p>
    <w:p w14:paraId="0400584F" w14:textId="77777777" w:rsidR="00D36836" w:rsidRPr="00A26452" w:rsidRDefault="00D36836" w:rsidP="00D36836">
      <w:pPr>
        <w:numPr>
          <w:ilvl w:val="1"/>
          <w:numId w:val="24"/>
        </w:numPr>
        <w:spacing w:after="120"/>
        <w:rPr>
          <w:rFonts w:eastAsia="MS Mincho"/>
          <w:i/>
          <w:iCs/>
          <w:sz w:val="20"/>
          <w:szCs w:val="20"/>
          <w:lang w:eastAsia="ja-JP"/>
        </w:rPr>
      </w:pPr>
      <w:r w:rsidRPr="00A26452">
        <w:rPr>
          <w:rFonts w:eastAsia="MS Mincho"/>
          <w:i/>
          <w:iCs/>
          <w:sz w:val="20"/>
          <w:szCs w:val="20"/>
          <w:lang w:eastAsia="ja-JP"/>
        </w:rPr>
        <w:t xml:space="preserve">Enhancements to reduce MPR/PAR, including </w:t>
      </w:r>
      <w:r w:rsidRPr="00A26452">
        <w:rPr>
          <w:rFonts w:eastAsia="MS Mincho" w:hint="eastAsia"/>
          <w:i/>
          <w:iCs/>
          <w:sz w:val="20"/>
          <w:szCs w:val="20"/>
          <w:lang w:eastAsia="ja-JP"/>
        </w:rPr>
        <w:t xml:space="preserve">frequency domain </w:t>
      </w:r>
      <w:r w:rsidRPr="00A26452">
        <w:rPr>
          <w:rFonts w:eastAsia="MS Mincho"/>
          <w:i/>
          <w:iCs/>
          <w:sz w:val="20"/>
          <w:szCs w:val="20"/>
          <w:lang w:eastAsia="ja-JP"/>
        </w:rPr>
        <w:t>spectrum shaping</w:t>
      </w:r>
      <w:r w:rsidRPr="00A26452">
        <w:rPr>
          <w:rFonts w:eastAsia="MS Mincho"/>
          <w:i/>
          <w:iCs/>
          <w:sz w:val="20"/>
          <w:szCs w:val="20"/>
          <w:lang w:val="en-GB" w:eastAsia="ja-JP"/>
        </w:rPr>
        <w:t xml:space="preserve"> </w:t>
      </w:r>
      <w:r w:rsidRPr="00A26452">
        <w:rPr>
          <w:rFonts w:eastAsia="MS Mincho"/>
          <w:i/>
          <w:iCs/>
          <w:sz w:val="20"/>
          <w:szCs w:val="20"/>
          <w:lang w:eastAsia="ja-JP"/>
        </w:rPr>
        <w:t>with and without spectrum extension for DFT-S-OFDM and tone reservation (RAN4, RAN1)</w:t>
      </w:r>
    </w:p>
    <w:p w14:paraId="1C487DFB" w14:textId="5A90B900" w:rsidR="00D36836" w:rsidRPr="00685880" w:rsidRDefault="00D36836" w:rsidP="00D36836">
      <w:pPr>
        <w:spacing w:after="120"/>
        <w:rPr>
          <w:rFonts w:eastAsia="SimSun"/>
          <w:noProof/>
          <w:sz w:val="20"/>
          <w:szCs w:val="20"/>
          <w:lang w:eastAsia="en-US"/>
        </w:rPr>
      </w:pPr>
      <w:r w:rsidRPr="00974C1A">
        <w:rPr>
          <w:rFonts w:eastAsia="MS Mincho"/>
          <w:sz w:val="20"/>
          <w:szCs w:val="20"/>
          <w:lang w:eastAsia="ja-JP"/>
        </w:rPr>
        <w:t>In this contribution, we discuss</w:t>
      </w:r>
      <w:r w:rsidR="00F97F26">
        <w:rPr>
          <w:rFonts w:eastAsia="MS Mincho"/>
          <w:sz w:val="20"/>
          <w:szCs w:val="20"/>
          <w:lang w:eastAsia="ja-JP"/>
        </w:rPr>
        <w:t xml:space="preserve"> and share our views on MPR/PAR reduction</w:t>
      </w:r>
      <w:r>
        <w:rPr>
          <w:rFonts w:eastAsia="MS Mincho"/>
          <w:sz w:val="20"/>
          <w:szCs w:val="20"/>
          <w:lang w:eastAsia="ja-JP"/>
        </w:rPr>
        <w:t>.</w:t>
      </w:r>
    </w:p>
    <w:p w14:paraId="4E51CF29" w14:textId="68A17834" w:rsidR="004E01AD" w:rsidRDefault="00991897" w:rsidP="00FA5BF8">
      <w:pPr>
        <w:pStyle w:val="Heading1"/>
      </w:pPr>
      <w:r>
        <w:t>Discussion on MPR/PAR reduction</w:t>
      </w:r>
    </w:p>
    <w:p w14:paraId="0BC8C83C" w14:textId="2AB47135" w:rsidR="00DB7FC3" w:rsidRDefault="00956698"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The </w:t>
      </w:r>
      <w:r w:rsidR="00DB7FC3">
        <w:rPr>
          <w:rFonts w:eastAsia="MS Mincho"/>
          <w:sz w:val="20"/>
          <w:szCs w:val="20"/>
          <w:lang w:eastAsia="ja-JP"/>
        </w:rPr>
        <w:t>MPR</w:t>
      </w:r>
      <w:r>
        <w:rPr>
          <w:rFonts w:eastAsia="MS Mincho"/>
          <w:sz w:val="20"/>
          <w:szCs w:val="20"/>
          <w:lang w:eastAsia="ja-JP"/>
        </w:rPr>
        <w:t xml:space="preserve"> reduction </w:t>
      </w:r>
      <w:r w:rsidR="00DB7FC3">
        <w:rPr>
          <w:rFonts w:eastAsia="MS Mincho"/>
          <w:sz w:val="20"/>
          <w:szCs w:val="20"/>
          <w:lang w:eastAsia="ja-JP"/>
        </w:rPr>
        <w:t xml:space="preserve">can potentially </w:t>
      </w:r>
      <w:r>
        <w:rPr>
          <w:rFonts w:eastAsia="MS Mincho"/>
          <w:sz w:val="20"/>
          <w:szCs w:val="20"/>
          <w:lang w:eastAsia="ja-JP"/>
        </w:rPr>
        <w:t>enhance the UE PA efficiency, therefore the UL coverage could be improved.</w:t>
      </w:r>
      <w:r w:rsidRPr="009E3999">
        <w:rPr>
          <w:rFonts w:eastAsia="MS Mincho"/>
          <w:sz w:val="20"/>
          <w:szCs w:val="20"/>
          <w:lang w:eastAsia="ja-JP"/>
        </w:rPr>
        <w:t xml:space="preserve"> </w:t>
      </w:r>
      <w:r w:rsidR="00DB7FC3">
        <w:rPr>
          <w:rFonts w:eastAsia="MS Mincho"/>
          <w:sz w:val="20"/>
          <w:szCs w:val="20"/>
          <w:lang w:eastAsia="ja-JP"/>
        </w:rPr>
        <w:t xml:space="preserve">In </w:t>
      </w:r>
      <w:r w:rsidR="00EA0F9C">
        <w:rPr>
          <w:rFonts w:eastAsia="MS Mincho"/>
          <w:sz w:val="20"/>
          <w:szCs w:val="20"/>
          <w:lang w:eastAsia="ja-JP"/>
        </w:rPr>
        <w:t>the past meetings</w:t>
      </w:r>
      <w:r w:rsidR="00DB7FC3">
        <w:rPr>
          <w:rFonts w:eastAsia="MS Mincho"/>
          <w:sz w:val="20"/>
          <w:szCs w:val="20"/>
          <w:lang w:eastAsia="ja-JP"/>
        </w:rPr>
        <w:t xml:space="preserve">, </w:t>
      </w:r>
      <w:r w:rsidR="000B5098">
        <w:rPr>
          <w:rFonts w:eastAsia="MS Mincho"/>
          <w:sz w:val="20"/>
          <w:szCs w:val="20"/>
          <w:lang w:eastAsia="ja-JP"/>
        </w:rPr>
        <w:t>couple of</w:t>
      </w:r>
      <w:r w:rsidR="00DB7FC3">
        <w:rPr>
          <w:rFonts w:eastAsia="MS Mincho"/>
          <w:sz w:val="20"/>
          <w:szCs w:val="20"/>
          <w:lang w:eastAsia="ja-JP"/>
        </w:rPr>
        <w:t xml:space="preserve"> </w:t>
      </w:r>
      <w:r w:rsidR="00EA0F9C">
        <w:rPr>
          <w:rFonts w:eastAsia="MS Mincho"/>
          <w:sz w:val="20"/>
          <w:szCs w:val="20"/>
          <w:lang w:eastAsia="ja-JP"/>
        </w:rPr>
        <w:t xml:space="preserve">non-transparent </w:t>
      </w:r>
      <w:r w:rsidR="00DB7FC3">
        <w:rPr>
          <w:rFonts w:eastAsia="MS Mincho"/>
          <w:sz w:val="20"/>
          <w:szCs w:val="20"/>
          <w:lang w:eastAsia="ja-JP"/>
        </w:rPr>
        <w:t xml:space="preserve">schemes were discussed to achieve MPR/PAR </w:t>
      </w:r>
      <w:r w:rsidR="00410523">
        <w:rPr>
          <w:rFonts w:eastAsia="MS Mincho"/>
          <w:sz w:val="20"/>
          <w:szCs w:val="20"/>
          <w:lang w:eastAsia="ja-JP"/>
        </w:rPr>
        <w:t xml:space="preserve">reduction, where for </w:t>
      </w:r>
      <w:r w:rsidR="000B5098">
        <w:rPr>
          <w:rFonts w:eastAsia="MS Mincho"/>
          <w:sz w:val="20"/>
          <w:szCs w:val="20"/>
          <w:lang w:eastAsia="ja-JP"/>
        </w:rPr>
        <w:t>all</w:t>
      </w:r>
      <w:r w:rsidR="00410523">
        <w:rPr>
          <w:rFonts w:eastAsia="MS Mincho"/>
          <w:sz w:val="20"/>
          <w:szCs w:val="20"/>
          <w:lang w:eastAsia="ja-JP"/>
        </w:rPr>
        <w:t xml:space="preserve"> schemes DFT-s-OFDM is the target waveform</w:t>
      </w:r>
      <w:r w:rsidR="00DB7FC3">
        <w:rPr>
          <w:rFonts w:eastAsia="MS Mincho"/>
          <w:sz w:val="20"/>
          <w:szCs w:val="20"/>
          <w:lang w:eastAsia="ja-JP"/>
        </w:rPr>
        <w:t xml:space="preserve">. Those </w:t>
      </w:r>
      <w:r w:rsidR="00410523">
        <w:rPr>
          <w:rFonts w:eastAsia="MS Mincho"/>
          <w:sz w:val="20"/>
          <w:szCs w:val="20"/>
          <w:lang w:eastAsia="ja-JP"/>
        </w:rPr>
        <w:t xml:space="preserve">schemes </w:t>
      </w:r>
      <w:r w:rsidR="00DB7FC3">
        <w:rPr>
          <w:rFonts w:eastAsia="MS Mincho"/>
          <w:sz w:val="20"/>
          <w:szCs w:val="20"/>
          <w:lang w:eastAsia="ja-JP"/>
        </w:rPr>
        <w:t>are</w:t>
      </w:r>
      <w:r w:rsidR="000B5098">
        <w:rPr>
          <w:rFonts w:eastAsia="MS Mincho"/>
          <w:sz w:val="20"/>
          <w:szCs w:val="20"/>
          <w:lang w:eastAsia="ja-JP"/>
        </w:rPr>
        <w:t xml:space="preserve"> mainly</w:t>
      </w:r>
      <w:r w:rsidR="00DB7FC3">
        <w:rPr>
          <w:rFonts w:eastAsia="MS Mincho"/>
          <w:sz w:val="20"/>
          <w:szCs w:val="20"/>
          <w:lang w:eastAsia="ja-JP"/>
        </w:rPr>
        <w:t xml:space="preserve"> frequency domain spectrum shaping</w:t>
      </w:r>
      <w:r w:rsidR="00410523">
        <w:rPr>
          <w:rFonts w:eastAsia="MS Mincho"/>
          <w:sz w:val="20"/>
          <w:szCs w:val="20"/>
          <w:lang w:eastAsia="ja-JP"/>
        </w:rPr>
        <w:t xml:space="preserve"> with</w:t>
      </w:r>
      <w:r w:rsidR="000B5098">
        <w:rPr>
          <w:rFonts w:eastAsia="MS Mincho"/>
          <w:sz w:val="20"/>
          <w:szCs w:val="20"/>
          <w:lang w:eastAsia="ja-JP"/>
        </w:rPr>
        <w:t>/without</w:t>
      </w:r>
      <w:r w:rsidR="00410523">
        <w:rPr>
          <w:rFonts w:eastAsia="MS Mincho"/>
          <w:sz w:val="20"/>
          <w:szCs w:val="20"/>
          <w:lang w:eastAsia="ja-JP"/>
        </w:rPr>
        <w:t xml:space="preserve"> spectrum extension</w:t>
      </w:r>
      <w:r w:rsidR="00DB7FC3">
        <w:rPr>
          <w:rFonts w:eastAsia="MS Mincho"/>
          <w:sz w:val="20"/>
          <w:szCs w:val="20"/>
          <w:lang w:eastAsia="ja-JP"/>
        </w:rPr>
        <w:t xml:space="preserve"> (FDSS-SE), and tone reservation (TR).</w:t>
      </w:r>
      <w:r w:rsidR="00754163">
        <w:rPr>
          <w:rFonts w:eastAsia="MS Mincho"/>
          <w:sz w:val="20"/>
          <w:szCs w:val="20"/>
          <w:lang w:eastAsia="ja-JP"/>
        </w:rPr>
        <w:t xml:space="preserve"> More precisely, it was agreed in RAN1#111 that:</w:t>
      </w:r>
    </w:p>
    <w:p w14:paraId="54913ACA" w14:textId="4CF073E9" w:rsidR="00A049D5" w:rsidRDefault="00A049D5" w:rsidP="00A049D5">
      <w:pPr>
        <w:shd w:val="clear" w:color="auto" w:fill="FFFFFF"/>
        <w:jc w:val="both"/>
        <w:rPr>
          <w:rFonts w:eastAsia="DengXian"/>
          <w:sz w:val="20"/>
          <w:szCs w:val="20"/>
        </w:rPr>
      </w:pPr>
    </w:p>
    <w:p w14:paraId="3F9BA0FD" w14:textId="70824B51" w:rsidR="00A049D5" w:rsidRPr="00A049D5" w:rsidRDefault="00A049D5" w:rsidP="00A049D5">
      <w:pPr>
        <w:shd w:val="clear" w:color="auto" w:fill="FFFFFF"/>
        <w:jc w:val="both"/>
        <w:rPr>
          <w:rFonts w:ascii="Calibri" w:eastAsia="SimSun" w:hAnsi="Calibri" w:cs="Calibri"/>
          <w:color w:val="000000"/>
          <w:sz w:val="20"/>
          <w:szCs w:val="20"/>
          <w:highlight w:val="green"/>
        </w:rPr>
      </w:pPr>
      <w:r w:rsidRPr="000B5098">
        <w:rPr>
          <w:rFonts w:eastAsia="DengXian"/>
          <w:sz w:val="20"/>
          <w:szCs w:val="20"/>
          <w:highlight w:val="green"/>
        </w:rPr>
        <w:t>Agreement</w:t>
      </w:r>
    </w:p>
    <w:p w14:paraId="715269B3" w14:textId="1F5680A0" w:rsidR="00A049D5" w:rsidRPr="00A049D5" w:rsidRDefault="00A049D5" w:rsidP="00A049D5">
      <w:pPr>
        <w:shd w:val="clear" w:color="auto" w:fill="FFFFFF"/>
        <w:jc w:val="both"/>
        <w:rPr>
          <w:rFonts w:eastAsia="DengXian"/>
          <w:sz w:val="20"/>
          <w:szCs w:val="20"/>
        </w:rPr>
      </w:pPr>
      <w:r w:rsidRPr="00A049D5">
        <w:rPr>
          <w:rFonts w:eastAsia="DengXian"/>
          <w:sz w:val="20"/>
          <w:szCs w:val="20"/>
        </w:rPr>
        <w:t>The following non-transparent solutions for MPR/PAR reduction are currently under discussion in RAN1.</w:t>
      </w:r>
    </w:p>
    <w:p w14:paraId="01ADF04B" w14:textId="77777777" w:rsidR="00A049D5" w:rsidRPr="00A049D5" w:rsidRDefault="00A049D5" w:rsidP="00A049D5">
      <w:pPr>
        <w:numPr>
          <w:ilvl w:val="0"/>
          <w:numId w:val="28"/>
        </w:numPr>
        <w:shd w:val="clear" w:color="auto" w:fill="FFFFFF"/>
        <w:jc w:val="both"/>
        <w:rPr>
          <w:rFonts w:eastAsia="DengXian"/>
          <w:sz w:val="20"/>
          <w:szCs w:val="20"/>
        </w:rPr>
      </w:pPr>
      <w:r w:rsidRPr="00A049D5">
        <w:rPr>
          <w:rFonts w:eastAsia="DengXian"/>
          <w:sz w:val="20"/>
          <w:szCs w:val="20"/>
        </w:rPr>
        <w:t>Frequency domain spectrum shaping w/ spectrum extension</w:t>
      </w:r>
    </w:p>
    <w:p w14:paraId="0AA4C1DB" w14:textId="15A37F01" w:rsidR="000B5098" w:rsidRPr="00384707" w:rsidRDefault="00A049D5" w:rsidP="00384707">
      <w:pPr>
        <w:numPr>
          <w:ilvl w:val="0"/>
          <w:numId w:val="28"/>
        </w:numPr>
        <w:shd w:val="clear" w:color="auto" w:fill="FFFFFF"/>
        <w:spacing w:before="100" w:beforeAutospacing="1" w:after="100" w:afterAutospacing="1"/>
        <w:jc w:val="both"/>
        <w:rPr>
          <w:rFonts w:eastAsia="DengXian"/>
          <w:sz w:val="20"/>
          <w:szCs w:val="20"/>
        </w:rPr>
      </w:pPr>
      <w:r w:rsidRPr="00A049D5">
        <w:rPr>
          <w:rFonts w:eastAsia="DengXian"/>
          <w:sz w:val="20"/>
          <w:szCs w:val="20"/>
        </w:rPr>
        <w:t>Tone reservation w/ spectrum extension</w:t>
      </w:r>
    </w:p>
    <w:p w14:paraId="68B60654" w14:textId="77777777" w:rsidR="00081C5F" w:rsidRPr="000B5098" w:rsidRDefault="00081C5F" w:rsidP="00081C5F">
      <w:pPr>
        <w:shd w:val="clear" w:color="auto" w:fill="FFFFFF"/>
        <w:jc w:val="both"/>
        <w:rPr>
          <w:sz w:val="20"/>
          <w:szCs w:val="20"/>
          <w:highlight w:val="green"/>
          <w:lang w:eastAsia="x-none"/>
        </w:rPr>
      </w:pPr>
      <w:r w:rsidRPr="000B5098">
        <w:rPr>
          <w:rFonts w:hint="eastAsia"/>
          <w:sz w:val="20"/>
          <w:szCs w:val="20"/>
          <w:highlight w:val="green"/>
          <w:lang w:eastAsia="x-none"/>
        </w:rPr>
        <w:t>Agreement</w:t>
      </w:r>
    </w:p>
    <w:p w14:paraId="7C99AD5C" w14:textId="77777777" w:rsidR="00081C5F" w:rsidRPr="00081C5F" w:rsidRDefault="00081C5F" w:rsidP="00081C5F">
      <w:pPr>
        <w:overflowPunct w:val="0"/>
        <w:autoSpaceDE w:val="0"/>
        <w:autoSpaceDN w:val="0"/>
        <w:adjustRightInd w:val="0"/>
        <w:jc w:val="both"/>
        <w:textAlignment w:val="baseline"/>
        <w:rPr>
          <w:rFonts w:eastAsia="MS Mincho"/>
          <w:bCs/>
          <w:sz w:val="20"/>
          <w:szCs w:val="20"/>
          <w:lang w:eastAsia="ja-JP"/>
        </w:rPr>
      </w:pPr>
      <w:r w:rsidRPr="00081C5F">
        <w:rPr>
          <w:rFonts w:eastAsia="MS Mincho"/>
          <w:bCs/>
          <w:sz w:val="20"/>
          <w:szCs w:val="20"/>
          <w:lang w:eastAsia="ja-JP"/>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7428D1EF" w14:textId="77777777" w:rsidR="00081C5F" w:rsidRDefault="00081C5F" w:rsidP="00956698">
      <w:pPr>
        <w:overflowPunct w:val="0"/>
        <w:autoSpaceDE w:val="0"/>
        <w:autoSpaceDN w:val="0"/>
        <w:adjustRightInd w:val="0"/>
        <w:jc w:val="both"/>
        <w:textAlignment w:val="baseline"/>
        <w:rPr>
          <w:rFonts w:eastAsia="MS Mincho"/>
          <w:sz w:val="20"/>
          <w:szCs w:val="20"/>
          <w:lang w:eastAsia="ja-JP"/>
        </w:rPr>
      </w:pPr>
    </w:p>
    <w:p w14:paraId="46A3B62A" w14:textId="71B223C5" w:rsidR="006C31DE" w:rsidRDefault="008B6BD7"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Later, in RAN1#112 it was agreed that:</w:t>
      </w:r>
    </w:p>
    <w:p w14:paraId="142D6C40" w14:textId="2D1DB209" w:rsidR="008B6BD7" w:rsidRPr="008B6BD7" w:rsidRDefault="008B6BD7" w:rsidP="008B6BD7">
      <w:pPr>
        <w:spacing w:before="120" w:after="120"/>
        <w:rPr>
          <w:b/>
          <w:bCs/>
          <w:sz w:val="20"/>
          <w:szCs w:val="20"/>
          <w:highlight w:val="green"/>
        </w:rPr>
      </w:pPr>
      <w:r w:rsidRPr="008B6BD7">
        <w:rPr>
          <w:b/>
          <w:bCs/>
          <w:sz w:val="20"/>
          <w:szCs w:val="20"/>
          <w:highlight w:val="green"/>
        </w:rPr>
        <w:t>Agreement</w:t>
      </w:r>
    </w:p>
    <w:p w14:paraId="2D9E962A" w14:textId="77777777" w:rsidR="008B6BD7" w:rsidRPr="008B6BD7" w:rsidRDefault="008B6BD7" w:rsidP="008B6BD7">
      <w:pPr>
        <w:spacing w:before="120" w:after="120"/>
        <w:rPr>
          <w:sz w:val="20"/>
          <w:szCs w:val="20"/>
        </w:rPr>
      </w:pPr>
      <w:r w:rsidRPr="008B6BD7">
        <w:rPr>
          <w:sz w:val="20"/>
          <w:szCs w:val="20"/>
        </w:rPr>
        <w:t xml:space="preserve">If FDSS-SE is supported in Rel-18, RAN1 to further study the following approaches for DMRS, when the DMRS sequence length before extension of the sequence, if any, is larger than or equal to 30: </w:t>
      </w:r>
    </w:p>
    <w:p w14:paraId="37F3849A" w14:textId="77777777" w:rsidR="008B6BD7" w:rsidRPr="008B6BD7" w:rsidRDefault="008B6BD7" w:rsidP="008B6BD7">
      <w:pPr>
        <w:pStyle w:val="ListParagraph"/>
        <w:numPr>
          <w:ilvl w:val="0"/>
          <w:numId w:val="32"/>
        </w:numPr>
        <w:spacing w:before="120" w:after="120"/>
        <w:ind w:leftChars="0" w:left="714"/>
        <w:contextualSpacing/>
        <w:rPr>
          <w:rFonts w:ascii="Times New Roman" w:hAnsi="Times New Roman"/>
          <w:szCs w:val="20"/>
        </w:rPr>
      </w:pPr>
      <w:r w:rsidRPr="008B6BD7">
        <w:rPr>
          <w:rFonts w:ascii="Times New Roman" w:hAnsi="Times New Roman"/>
          <w:szCs w:val="20"/>
        </w:rPr>
        <w:t xml:space="preserve">Approach A – the DMRS sequence is extended: A DMRS sequence is generated considering the number of PRBs in the </w:t>
      </w:r>
      <w:proofErr w:type="spellStart"/>
      <w:r w:rsidRPr="008B6BD7">
        <w:rPr>
          <w:rFonts w:ascii="Times New Roman" w:hAnsi="Times New Roman"/>
          <w:szCs w:val="20"/>
        </w:rPr>
        <w:t>inband</w:t>
      </w:r>
      <w:proofErr w:type="spellEnd"/>
      <w:r w:rsidRPr="008B6BD7">
        <w:rPr>
          <w:rFonts w:ascii="Times New Roman" w:hAnsi="Times New Roman"/>
          <w:szCs w:val="20"/>
        </w:rPr>
        <w:t xml:space="preserve"> (no extension). The sequence length depends on the number of PRBs in the </w:t>
      </w:r>
      <w:proofErr w:type="spellStart"/>
      <w:r w:rsidRPr="008B6BD7">
        <w:rPr>
          <w:rFonts w:ascii="Times New Roman" w:hAnsi="Times New Roman"/>
          <w:szCs w:val="20"/>
        </w:rPr>
        <w:t>inband</w:t>
      </w:r>
      <w:proofErr w:type="spellEnd"/>
      <w:r w:rsidRPr="008B6BD7">
        <w:rPr>
          <w:rFonts w:ascii="Times New Roman" w:hAnsi="Times New Roman"/>
          <w:szCs w:val="20"/>
        </w:rPr>
        <w:t>. Two sequence types can be considered:</w:t>
      </w:r>
    </w:p>
    <w:p w14:paraId="1432DC64" w14:textId="77777777" w:rsidR="008B6BD7" w:rsidRPr="008B6BD7" w:rsidRDefault="008B6BD7" w:rsidP="008B6BD7">
      <w:pPr>
        <w:pStyle w:val="ListParagraph"/>
        <w:numPr>
          <w:ilvl w:val="1"/>
          <w:numId w:val="32"/>
        </w:numPr>
        <w:spacing w:before="120" w:after="120"/>
        <w:ind w:leftChars="0"/>
        <w:contextualSpacing/>
        <w:rPr>
          <w:rFonts w:ascii="Times New Roman" w:hAnsi="Times New Roman"/>
          <w:szCs w:val="20"/>
        </w:rPr>
      </w:pPr>
      <w:r w:rsidRPr="008B6BD7">
        <w:rPr>
          <w:rFonts w:ascii="Times New Roman" w:hAnsi="Times New Roman"/>
          <w:szCs w:val="20"/>
        </w:rPr>
        <w:t>A.1: The sequence is a Type 1 DMRS sequence.</w:t>
      </w:r>
    </w:p>
    <w:p w14:paraId="7E3DB700" w14:textId="77777777" w:rsidR="008B6BD7" w:rsidRPr="008B6BD7" w:rsidRDefault="008B6BD7" w:rsidP="008B6BD7">
      <w:pPr>
        <w:pStyle w:val="ListParagraph"/>
        <w:numPr>
          <w:ilvl w:val="1"/>
          <w:numId w:val="32"/>
        </w:numPr>
        <w:spacing w:before="120" w:after="120"/>
        <w:ind w:leftChars="0"/>
        <w:contextualSpacing/>
        <w:rPr>
          <w:rFonts w:ascii="Times New Roman" w:hAnsi="Times New Roman"/>
          <w:szCs w:val="20"/>
        </w:rPr>
      </w:pPr>
      <w:r w:rsidRPr="008B6BD7">
        <w:rPr>
          <w:rFonts w:ascii="Times New Roman" w:hAnsi="Times New Roman"/>
          <w:szCs w:val="20"/>
        </w:rPr>
        <w:t xml:space="preserve">A.2: The sequence is a Type 2 DMRS sequence. </w:t>
      </w:r>
    </w:p>
    <w:p w14:paraId="20A27091" w14:textId="77777777" w:rsidR="008B6BD7" w:rsidRPr="008B6BD7" w:rsidRDefault="008B6BD7" w:rsidP="008B6BD7">
      <w:pPr>
        <w:spacing w:before="120" w:after="120"/>
        <w:ind w:left="568" w:firstLine="152"/>
        <w:rPr>
          <w:sz w:val="20"/>
          <w:szCs w:val="20"/>
        </w:rPr>
      </w:pPr>
      <w:r w:rsidRPr="008B6BD7">
        <w:rPr>
          <w:sz w:val="20"/>
          <w:szCs w:val="20"/>
        </w:rPr>
        <w:t>FFS: how the sequence is extended.</w:t>
      </w:r>
    </w:p>
    <w:p w14:paraId="12C51E01" w14:textId="77777777" w:rsidR="008B6BD7" w:rsidRPr="008B6BD7" w:rsidRDefault="008B6BD7" w:rsidP="008B6BD7">
      <w:pPr>
        <w:pStyle w:val="ListParagraph"/>
        <w:numPr>
          <w:ilvl w:val="0"/>
          <w:numId w:val="32"/>
        </w:numPr>
        <w:spacing w:before="120" w:after="120"/>
        <w:ind w:leftChars="0"/>
        <w:contextualSpacing/>
        <w:rPr>
          <w:rFonts w:ascii="Times New Roman" w:hAnsi="Times New Roman"/>
          <w:szCs w:val="20"/>
        </w:rPr>
      </w:pPr>
      <w:r w:rsidRPr="008B6BD7">
        <w:rPr>
          <w:rFonts w:ascii="Times New Roman" w:hAnsi="Times New Roman"/>
          <w:szCs w:val="20"/>
        </w:rPr>
        <w:lastRenderedPageBreak/>
        <w:t xml:space="preserve">Approach B – the DMRS sequence is not extended: A DMRS sequence based on type 1 or type 2 DMRS sequence is generated considering the number of PRBs in the </w:t>
      </w:r>
      <w:proofErr w:type="spellStart"/>
      <w:r w:rsidRPr="008B6BD7">
        <w:rPr>
          <w:rFonts w:ascii="Times New Roman" w:hAnsi="Times New Roman"/>
          <w:szCs w:val="20"/>
        </w:rPr>
        <w:t>inband</w:t>
      </w:r>
      <w:proofErr w:type="spellEnd"/>
      <w:r w:rsidRPr="008B6BD7">
        <w:rPr>
          <w:rFonts w:ascii="Times New Roman" w:hAnsi="Times New Roman"/>
          <w:szCs w:val="20"/>
        </w:rPr>
        <w:t xml:space="preserve"> + extension. The sequence length depends on the number of PRBs in the </w:t>
      </w:r>
      <w:proofErr w:type="spellStart"/>
      <w:r w:rsidRPr="008B6BD7">
        <w:rPr>
          <w:rFonts w:ascii="Times New Roman" w:hAnsi="Times New Roman"/>
          <w:szCs w:val="20"/>
        </w:rPr>
        <w:t>inband</w:t>
      </w:r>
      <w:proofErr w:type="spellEnd"/>
      <w:r w:rsidRPr="008B6BD7">
        <w:rPr>
          <w:rFonts w:ascii="Times New Roman" w:hAnsi="Times New Roman"/>
          <w:szCs w:val="20"/>
        </w:rPr>
        <w:t xml:space="preserve"> + extension.</w:t>
      </w:r>
    </w:p>
    <w:p w14:paraId="2F1CD01A" w14:textId="77777777" w:rsidR="008B6BD7" w:rsidRPr="008B6BD7" w:rsidRDefault="008B6BD7" w:rsidP="008B6BD7">
      <w:pPr>
        <w:pStyle w:val="ListParagraph"/>
        <w:spacing w:before="120" w:after="120"/>
        <w:ind w:left="1680"/>
        <w:rPr>
          <w:rFonts w:ascii="Times New Roman" w:eastAsia="DengXian" w:hAnsi="Times New Roman"/>
          <w:szCs w:val="20"/>
        </w:rPr>
      </w:pPr>
      <w:r w:rsidRPr="008B6BD7">
        <w:rPr>
          <w:rFonts w:ascii="Times New Roman" w:hAnsi="Times New Roman"/>
          <w:szCs w:val="20"/>
        </w:rPr>
        <w:t xml:space="preserve">Note: if type 2 is used then both the number of PRBs in the </w:t>
      </w:r>
      <w:proofErr w:type="spellStart"/>
      <w:r w:rsidRPr="008B6BD7">
        <w:rPr>
          <w:rFonts w:ascii="Times New Roman" w:hAnsi="Times New Roman"/>
          <w:szCs w:val="20"/>
        </w:rPr>
        <w:t>inband</w:t>
      </w:r>
      <w:proofErr w:type="spellEnd"/>
      <w:r w:rsidRPr="008B6BD7">
        <w:rPr>
          <w:rFonts w:ascii="Times New Roman" w:hAnsi="Times New Roman"/>
          <w:szCs w:val="20"/>
        </w:rPr>
        <w:t xml:space="preserve"> and the number of PRBs in the </w:t>
      </w:r>
      <w:proofErr w:type="spellStart"/>
      <w:r w:rsidRPr="008B6BD7">
        <w:rPr>
          <w:rFonts w:ascii="Times New Roman" w:hAnsi="Times New Roman"/>
          <w:szCs w:val="20"/>
        </w:rPr>
        <w:t>inband+extension</w:t>
      </w:r>
      <w:proofErr w:type="spellEnd"/>
      <w:r w:rsidRPr="008B6BD7">
        <w:rPr>
          <w:rFonts w:ascii="Times New Roman" w:hAnsi="Times New Roman"/>
          <w:szCs w:val="20"/>
        </w:rPr>
        <w:t xml:space="preserve"> must be valid DFT sizes as per NR specification</w:t>
      </w:r>
    </w:p>
    <w:p w14:paraId="7F6830B6" w14:textId="77777777" w:rsidR="008B6BD7" w:rsidRPr="008B6BD7" w:rsidRDefault="008B6BD7" w:rsidP="008B6BD7">
      <w:pPr>
        <w:spacing w:before="120" w:after="120"/>
        <w:rPr>
          <w:rFonts w:eastAsia="DengXian"/>
          <w:sz w:val="20"/>
          <w:szCs w:val="20"/>
        </w:rPr>
      </w:pPr>
      <w:r w:rsidRPr="008B6BD7">
        <w:rPr>
          <w:sz w:val="20"/>
          <w:szCs w:val="20"/>
        </w:rPr>
        <w:t xml:space="preserve">Performance metrics considered for the study are PAPR, </w:t>
      </w:r>
      <w:proofErr w:type="gramStart"/>
      <w:r w:rsidRPr="008B6BD7">
        <w:rPr>
          <w:sz w:val="20"/>
          <w:szCs w:val="20"/>
        </w:rPr>
        <w:t>CM[</w:t>
      </w:r>
      <w:proofErr w:type="gramEnd"/>
      <w:r w:rsidRPr="008B6BD7">
        <w:rPr>
          <w:sz w:val="20"/>
          <w:szCs w:val="20"/>
        </w:rPr>
        <w:t>, and OBO] for DMRS and 10% BLER SNR for data (to measure channel estimation accuracy).</w:t>
      </w:r>
    </w:p>
    <w:p w14:paraId="5B21A9F4" w14:textId="5731C773" w:rsidR="008B6BD7" w:rsidRPr="008B6BD7" w:rsidRDefault="008B6BD7" w:rsidP="008B6BD7">
      <w:pPr>
        <w:spacing w:before="120" w:after="120"/>
        <w:rPr>
          <w:b/>
          <w:bCs/>
          <w:sz w:val="20"/>
          <w:szCs w:val="20"/>
          <w:highlight w:val="green"/>
        </w:rPr>
      </w:pPr>
      <w:r w:rsidRPr="008B6BD7">
        <w:rPr>
          <w:b/>
          <w:bCs/>
          <w:sz w:val="20"/>
          <w:szCs w:val="20"/>
          <w:highlight w:val="green"/>
        </w:rPr>
        <w:t>Agreement</w:t>
      </w:r>
    </w:p>
    <w:p w14:paraId="3581EEF3" w14:textId="77777777" w:rsidR="008B6BD7" w:rsidRPr="008B6BD7" w:rsidRDefault="008B6BD7" w:rsidP="008B6BD7">
      <w:pPr>
        <w:spacing w:before="120" w:after="120"/>
        <w:rPr>
          <w:sz w:val="20"/>
          <w:szCs w:val="20"/>
        </w:rPr>
      </w:pPr>
      <w:r w:rsidRPr="008B6BD7">
        <w:rPr>
          <w:sz w:val="20"/>
          <w:szCs w:val="20"/>
        </w:rPr>
        <w:t xml:space="preserve">If FDSS-SE is supported in Rel-18, and RB allocations resulting in DMRS sequence length smaller than 30 before extension of the sequence, if any, are supported, RAN1 to study at least the following approaches: </w:t>
      </w:r>
    </w:p>
    <w:p w14:paraId="54B8BD0A" w14:textId="77777777" w:rsidR="008B6BD7" w:rsidRPr="008B6BD7" w:rsidRDefault="008B6BD7" w:rsidP="008B6BD7">
      <w:pPr>
        <w:pStyle w:val="ListParagraph"/>
        <w:numPr>
          <w:ilvl w:val="0"/>
          <w:numId w:val="32"/>
        </w:numPr>
        <w:spacing w:before="120" w:after="120"/>
        <w:ind w:leftChars="0"/>
        <w:contextualSpacing/>
        <w:rPr>
          <w:rFonts w:ascii="Times New Roman" w:hAnsi="Times New Roman"/>
          <w:szCs w:val="20"/>
        </w:rPr>
      </w:pPr>
      <w:r w:rsidRPr="008B6BD7">
        <w:rPr>
          <w:rFonts w:ascii="Times New Roman" w:hAnsi="Times New Roman"/>
          <w:szCs w:val="20"/>
        </w:rPr>
        <w:t xml:space="preserve">Approach A – the DMRS sequence is extended: A DMRS sequence is generated considering the number of PRBs in the </w:t>
      </w:r>
      <w:proofErr w:type="spellStart"/>
      <w:r w:rsidRPr="008B6BD7">
        <w:rPr>
          <w:rFonts w:ascii="Times New Roman" w:hAnsi="Times New Roman"/>
          <w:szCs w:val="20"/>
        </w:rPr>
        <w:t>inband</w:t>
      </w:r>
      <w:proofErr w:type="spellEnd"/>
      <w:r w:rsidRPr="008B6BD7">
        <w:rPr>
          <w:rFonts w:ascii="Times New Roman" w:hAnsi="Times New Roman"/>
          <w:szCs w:val="20"/>
        </w:rPr>
        <w:t xml:space="preserve"> (no extension). The sequence length depends on the number of PRBs in the </w:t>
      </w:r>
      <w:proofErr w:type="spellStart"/>
      <w:r w:rsidRPr="008B6BD7">
        <w:rPr>
          <w:rFonts w:ascii="Times New Roman" w:hAnsi="Times New Roman"/>
          <w:szCs w:val="20"/>
        </w:rPr>
        <w:t>inband</w:t>
      </w:r>
      <w:proofErr w:type="spellEnd"/>
      <w:r w:rsidRPr="008B6BD7">
        <w:rPr>
          <w:rFonts w:ascii="Times New Roman" w:hAnsi="Times New Roman"/>
          <w:szCs w:val="20"/>
        </w:rPr>
        <w:t>. Two sequence types can be considered:</w:t>
      </w:r>
    </w:p>
    <w:p w14:paraId="4E38FD87" w14:textId="77777777" w:rsidR="008B6BD7" w:rsidRPr="008B6BD7" w:rsidRDefault="008B6BD7" w:rsidP="008B6BD7">
      <w:pPr>
        <w:pStyle w:val="ListParagraph"/>
        <w:numPr>
          <w:ilvl w:val="1"/>
          <w:numId w:val="32"/>
        </w:numPr>
        <w:spacing w:before="120" w:after="120"/>
        <w:ind w:leftChars="0"/>
        <w:contextualSpacing/>
        <w:rPr>
          <w:rFonts w:ascii="Times New Roman" w:hAnsi="Times New Roman"/>
          <w:szCs w:val="20"/>
        </w:rPr>
      </w:pPr>
      <w:r w:rsidRPr="008B6BD7">
        <w:rPr>
          <w:rFonts w:ascii="Times New Roman" w:hAnsi="Times New Roman"/>
          <w:szCs w:val="20"/>
        </w:rPr>
        <w:t xml:space="preserve">A.1: The sequence is obtained by DFT transformation of an existing DMRS sequence, e.g., Type 1 DMRS sequence. </w:t>
      </w:r>
    </w:p>
    <w:p w14:paraId="7B62F629" w14:textId="77777777" w:rsidR="008B6BD7" w:rsidRPr="008B6BD7" w:rsidRDefault="008B6BD7" w:rsidP="008B6BD7">
      <w:pPr>
        <w:pStyle w:val="ListParagraph"/>
        <w:numPr>
          <w:ilvl w:val="1"/>
          <w:numId w:val="32"/>
        </w:numPr>
        <w:spacing w:before="120" w:after="120"/>
        <w:ind w:leftChars="0"/>
        <w:contextualSpacing/>
        <w:rPr>
          <w:rFonts w:ascii="Times New Roman" w:hAnsi="Times New Roman"/>
          <w:szCs w:val="20"/>
        </w:rPr>
      </w:pPr>
      <w:r w:rsidRPr="008B6BD7">
        <w:rPr>
          <w:rFonts w:ascii="Times New Roman" w:hAnsi="Times New Roman"/>
          <w:szCs w:val="20"/>
        </w:rPr>
        <w:t>A.2: The sequence is a Type 1 or Type 2 DMRS sequence.</w:t>
      </w:r>
    </w:p>
    <w:p w14:paraId="1E8A8619" w14:textId="77777777" w:rsidR="008B6BD7" w:rsidRPr="008B6BD7" w:rsidRDefault="008B6BD7" w:rsidP="008B6BD7">
      <w:pPr>
        <w:spacing w:before="120" w:after="120"/>
        <w:ind w:left="284" w:firstLine="284"/>
        <w:rPr>
          <w:sz w:val="20"/>
          <w:szCs w:val="20"/>
        </w:rPr>
      </w:pPr>
      <w:r w:rsidRPr="008B6BD7">
        <w:rPr>
          <w:sz w:val="20"/>
          <w:szCs w:val="20"/>
        </w:rPr>
        <w:t xml:space="preserve">   FFS: how the sequence is extended. </w:t>
      </w:r>
    </w:p>
    <w:p w14:paraId="434722A8" w14:textId="77777777" w:rsidR="008B6BD7" w:rsidRPr="008B6BD7" w:rsidRDefault="008B6BD7" w:rsidP="008B6BD7">
      <w:pPr>
        <w:pStyle w:val="ListParagraph"/>
        <w:numPr>
          <w:ilvl w:val="0"/>
          <w:numId w:val="32"/>
        </w:numPr>
        <w:spacing w:before="120" w:after="120"/>
        <w:ind w:leftChars="0"/>
        <w:contextualSpacing/>
        <w:rPr>
          <w:rFonts w:ascii="Times New Roman" w:hAnsi="Times New Roman"/>
          <w:szCs w:val="20"/>
        </w:rPr>
      </w:pPr>
      <w:r w:rsidRPr="008B6BD7">
        <w:rPr>
          <w:rFonts w:ascii="Times New Roman" w:hAnsi="Times New Roman"/>
          <w:szCs w:val="20"/>
        </w:rPr>
        <w:t xml:space="preserve">Approach B – the DMRS sequence is not extended: A DMRS sequence based on type 1 or type 2 DMRS sequence is generated considering the number of PRBs in the </w:t>
      </w:r>
      <w:proofErr w:type="spellStart"/>
      <w:r w:rsidRPr="008B6BD7">
        <w:rPr>
          <w:rFonts w:ascii="Times New Roman" w:hAnsi="Times New Roman"/>
          <w:szCs w:val="20"/>
        </w:rPr>
        <w:t>inband</w:t>
      </w:r>
      <w:proofErr w:type="spellEnd"/>
      <w:r w:rsidRPr="008B6BD7">
        <w:rPr>
          <w:rFonts w:ascii="Times New Roman" w:hAnsi="Times New Roman"/>
          <w:szCs w:val="20"/>
        </w:rPr>
        <w:t xml:space="preserve"> + extension. The sequence length depends on the number of PRBs in the </w:t>
      </w:r>
      <w:proofErr w:type="spellStart"/>
      <w:r w:rsidRPr="008B6BD7">
        <w:rPr>
          <w:rFonts w:ascii="Times New Roman" w:hAnsi="Times New Roman"/>
          <w:szCs w:val="20"/>
        </w:rPr>
        <w:t>inband</w:t>
      </w:r>
      <w:proofErr w:type="spellEnd"/>
      <w:r w:rsidRPr="008B6BD7">
        <w:rPr>
          <w:rFonts w:ascii="Times New Roman" w:hAnsi="Times New Roman"/>
          <w:szCs w:val="20"/>
        </w:rPr>
        <w:t xml:space="preserve"> + extension.</w:t>
      </w:r>
    </w:p>
    <w:p w14:paraId="1B095C01" w14:textId="77777777" w:rsidR="008B6BD7" w:rsidRPr="008B6BD7" w:rsidRDefault="008B6BD7" w:rsidP="008B6BD7">
      <w:pPr>
        <w:pStyle w:val="ListParagraph"/>
        <w:spacing w:before="120" w:after="120"/>
        <w:ind w:left="1680"/>
        <w:rPr>
          <w:rFonts w:ascii="Times New Roman" w:hAnsi="Times New Roman"/>
          <w:szCs w:val="20"/>
        </w:rPr>
      </w:pPr>
      <w:r w:rsidRPr="008B6BD7">
        <w:rPr>
          <w:rFonts w:ascii="Times New Roman" w:hAnsi="Times New Roman"/>
          <w:szCs w:val="20"/>
        </w:rPr>
        <w:t xml:space="preserve">Note: if type 2 is used then both the number of PRBs in the </w:t>
      </w:r>
      <w:proofErr w:type="spellStart"/>
      <w:r w:rsidRPr="008B6BD7">
        <w:rPr>
          <w:rFonts w:ascii="Times New Roman" w:hAnsi="Times New Roman"/>
          <w:szCs w:val="20"/>
        </w:rPr>
        <w:t>inband</w:t>
      </w:r>
      <w:proofErr w:type="spellEnd"/>
      <w:r w:rsidRPr="008B6BD7">
        <w:rPr>
          <w:rFonts w:ascii="Times New Roman" w:hAnsi="Times New Roman"/>
          <w:szCs w:val="20"/>
        </w:rPr>
        <w:t xml:space="preserve"> and the number of PRBs in the </w:t>
      </w:r>
      <w:proofErr w:type="spellStart"/>
      <w:r w:rsidRPr="008B6BD7">
        <w:rPr>
          <w:rFonts w:ascii="Times New Roman" w:hAnsi="Times New Roman"/>
          <w:szCs w:val="20"/>
        </w:rPr>
        <w:t>inband+extension</w:t>
      </w:r>
      <w:proofErr w:type="spellEnd"/>
      <w:r w:rsidRPr="008B6BD7">
        <w:rPr>
          <w:rFonts w:ascii="Times New Roman" w:hAnsi="Times New Roman"/>
          <w:szCs w:val="20"/>
        </w:rPr>
        <w:t xml:space="preserve"> must be valid DFT sizes as per NR specification</w:t>
      </w:r>
    </w:p>
    <w:p w14:paraId="511B4517" w14:textId="77777777" w:rsidR="008B6BD7" w:rsidRPr="008B6BD7" w:rsidRDefault="008B6BD7" w:rsidP="008B6BD7">
      <w:pPr>
        <w:spacing w:before="120" w:after="120"/>
        <w:rPr>
          <w:sz w:val="20"/>
          <w:szCs w:val="20"/>
        </w:rPr>
      </w:pPr>
      <w:r w:rsidRPr="008B6BD7">
        <w:rPr>
          <w:sz w:val="20"/>
          <w:szCs w:val="20"/>
        </w:rPr>
        <w:t>Note:    Other sequences are not precluded for Approach A and Approach B.</w:t>
      </w:r>
    </w:p>
    <w:p w14:paraId="1E365C13" w14:textId="77777777" w:rsidR="008B6BD7" w:rsidRPr="008B6BD7" w:rsidRDefault="008B6BD7" w:rsidP="008B6BD7">
      <w:pPr>
        <w:spacing w:before="120" w:after="120"/>
        <w:rPr>
          <w:rFonts w:eastAsia="DengXian"/>
          <w:sz w:val="20"/>
          <w:szCs w:val="20"/>
        </w:rPr>
      </w:pPr>
      <w:r w:rsidRPr="008B6BD7">
        <w:rPr>
          <w:sz w:val="20"/>
          <w:szCs w:val="20"/>
        </w:rPr>
        <w:t>Performance metrics considered for the study are PAPR, CM [, and OBO] for DMRS and 10% BLER SNR for data (to measure channel estimation accuracy).</w:t>
      </w:r>
    </w:p>
    <w:p w14:paraId="34935B96" w14:textId="77777777" w:rsidR="008B6BD7" w:rsidRDefault="008B6BD7" w:rsidP="00956698">
      <w:pPr>
        <w:overflowPunct w:val="0"/>
        <w:autoSpaceDE w:val="0"/>
        <w:autoSpaceDN w:val="0"/>
        <w:adjustRightInd w:val="0"/>
        <w:jc w:val="both"/>
        <w:textAlignment w:val="baseline"/>
        <w:rPr>
          <w:rFonts w:eastAsia="MS Mincho"/>
          <w:sz w:val="20"/>
          <w:szCs w:val="20"/>
          <w:lang w:eastAsia="ja-JP"/>
        </w:rPr>
      </w:pPr>
    </w:p>
    <w:p w14:paraId="5430EAB1" w14:textId="77777777" w:rsidR="00081C5F" w:rsidRDefault="00081C5F" w:rsidP="00956698">
      <w:pPr>
        <w:overflowPunct w:val="0"/>
        <w:autoSpaceDE w:val="0"/>
        <w:autoSpaceDN w:val="0"/>
        <w:adjustRightInd w:val="0"/>
        <w:jc w:val="both"/>
        <w:textAlignment w:val="baseline"/>
        <w:rPr>
          <w:rFonts w:eastAsia="MS Mincho"/>
          <w:sz w:val="20"/>
          <w:szCs w:val="20"/>
          <w:lang w:eastAsia="ja-JP"/>
        </w:rPr>
      </w:pPr>
    </w:p>
    <w:p w14:paraId="3176E135" w14:textId="4884378C" w:rsidR="006C31DE" w:rsidRDefault="006C31DE" w:rsidP="006C31DE">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In our view, </w:t>
      </w:r>
      <w:r w:rsidR="008B6BD7">
        <w:rPr>
          <w:rFonts w:eastAsia="MS Mincho"/>
          <w:sz w:val="20"/>
          <w:szCs w:val="20"/>
          <w:lang w:eastAsia="ja-JP"/>
        </w:rPr>
        <w:t>and considering evaluation results from different companies, net-gain from non-transparent schemes over transparent schemes is marginal, or even there is no gain for some of the considered scenarios in RAN1, but a loss is observed</w:t>
      </w:r>
      <w:r w:rsidR="00C1528C">
        <w:rPr>
          <w:rFonts w:eastAsia="MS Mincho"/>
          <w:sz w:val="20"/>
          <w:szCs w:val="20"/>
          <w:lang w:eastAsia="ja-JP"/>
        </w:rPr>
        <w:t>, especially for</w:t>
      </w:r>
      <w:r w:rsidR="00A64DCF">
        <w:rPr>
          <w:rFonts w:eastAsia="MS Mincho"/>
          <w:sz w:val="20"/>
          <w:szCs w:val="20"/>
          <w:lang w:eastAsia="ja-JP"/>
        </w:rPr>
        <w:t xml:space="preserve"> scenarios that are more realistic for a UE in deep coverage </w:t>
      </w:r>
      <w:r w:rsidR="00C1528C">
        <w:rPr>
          <w:rFonts w:eastAsia="MS Mincho"/>
          <w:sz w:val="20"/>
          <w:szCs w:val="20"/>
          <w:lang w:eastAsia="ja-JP"/>
        </w:rPr>
        <w:t xml:space="preserve">(i.e., </w:t>
      </w:r>
      <w:r w:rsidR="00A64DCF">
        <w:rPr>
          <w:rFonts w:eastAsia="MS Mincho"/>
          <w:sz w:val="20"/>
          <w:szCs w:val="20"/>
          <w:lang w:eastAsia="ja-JP"/>
        </w:rPr>
        <w:t>low MCS with low number of allocated PRBs</w:t>
      </w:r>
      <w:r w:rsidR="00C1528C">
        <w:rPr>
          <w:rFonts w:eastAsia="MS Mincho"/>
          <w:sz w:val="20"/>
          <w:szCs w:val="20"/>
          <w:lang w:eastAsia="ja-JP"/>
        </w:rPr>
        <w:t>, etc.</w:t>
      </w:r>
      <w:r w:rsidR="00A64DCF">
        <w:rPr>
          <w:rFonts w:eastAsia="MS Mincho"/>
          <w:sz w:val="20"/>
          <w:szCs w:val="20"/>
          <w:lang w:eastAsia="ja-JP"/>
        </w:rPr>
        <w:t xml:space="preserve">). In the lack of a clear gain, transparent schemes for PAPR reduction </w:t>
      </w:r>
      <w:r w:rsidR="008E679B">
        <w:rPr>
          <w:rFonts w:eastAsia="MS Mincho"/>
          <w:sz w:val="20"/>
          <w:szCs w:val="20"/>
          <w:lang w:eastAsia="ja-JP"/>
        </w:rPr>
        <w:t>are</w:t>
      </w:r>
      <w:r w:rsidR="00A64DCF">
        <w:rPr>
          <w:rFonts w:eastAsia="MS Mincho"/>
          <w:sz w:val="20"/>
          <w:szCs w:val="20"/>
          <w:lang w:eastAsia="ja-JP"/>
        </w:rPr>
        <w:t xml:space="preserve"> preferred</w:t>
      </w:r>
      <w:r w:rsidR="004412BA">
        <w:rPr>
          <w:rFonts w:eastAsia="MS Mincho"/>
          <w:sz w:val="20"/>
          <w:szCs w:val="20"/>
          <w:lang w:eastAsia="ja-JP"/>
        </w:rPr>
        <w:t>. Based on this discussion, we</w:t>
      </w:r>
      <w:r>
        <w:rPr>
          <w:rFonts w:eastAsia="MS Mincho"/>
          <w:sz w:val="20"/>
          <w:szCs w:val="20"/>
          <w:lang w:eastAsia="ja-JP"/>
        </w:rPr>
        <w:t xml:space="preserve"> have the following proposal</w:t>
      </w:r>
      <w:r w:rsidR="006D6D9F">
        <w:rPr>
          <w:rFonts w:eastAsia="MS Mincho"/>
          <w:sz w:val="20"/>
          <w:szCs w:val="20"/>
          <w:lang w:eastAsia="ja-JP"/>
        </w:rPr>
        <w:t>s</w:t>
      </w:r>
      <w:r>
        <w:rPr>
          <w:rFonts w:eastAsia="MS Mincho"/>
          <w:sz w:val="20"/>
          <w:szCs w:val="20"/>
          <w:lang w:eastAsia="ja-JP"/>
        </w:rPr>
        <w:t>:</w:t>
      </w:r>
    </w:p>
    <w:p w14:paraId="38AA743D" w14:textId="77777777" w:rsidR="006C31DE" w:rsidRDefault="006C31DE" w:rsidP="006C31DE">
      <w:pPr>
        <w:overflowPunct w:val="0"/>
        <w:autoSpaceDE w:val="0"/>
        <w:autoSpaceDN w:val="0"/>
        <w:adjustRightInd w:val="0"/>
        <w:jc w:val="both"/>
        <w:textAlignment w:val="baseline"/>
        <w:rPr>
          <w:rFonts w:eastAsia="MS Mincho"/>
          <w:sz w:val="20"/>
          <w:szCs w:val="20"/>
          <w:lang w:eastAsia="ja-JP"/>
        </w:rPr>
      </w:pPr>
    </w:p>
    <w:p w14:paraId="61833BCF" w14:textId="7B65BFA7" w:rsidR="008E679B" w:rsidRPr="008E679B" w:rsidRDefault="006C31DE" w:rsidP="006C31DE">
      <w:pPr>
        <w:pStyle w:val="0Maintext"/>
        <w:spacing w:after="120" w:afterAutospacing="0" w:line="240" w:lineRule="auto"/>
        <w:ind w:firstLine="0"/>
        <w:rPr>
          <w:iCs/>
          <w:noProof/>
        </w:rPr>
      </w:pPr>
      <w:r w:rsidRPr="000B312E">
        <w:rPr>
          <w:b/>
          <w:bCs/>
          <w:lang w:val="en-US" w:eastAsia="zh-CN"/>
        </w:rPr>
        <w:t xml:space="preserve">Proposal </w:t>
      </w:r>
      <w:r w:rsidR="008E679B">
        <w:rPr>
          <w:b/>
          <w:bCs/>
          <w:lang w:val="en-US" w:eastAsia="zh-CN"/>
        </w:rPr>
        <w:t>1</w:t>
      </w:r>
      <w:r w:rsidRPr="000B312E">
        <w:rPr>
          <w:lang w:val="en-US" w:eastAsia="zh-CN"/>
        </w:rPr>
        <w:t xml:space="preserve">: </w:t>
      </w:r>
      <w:r w:rsidR="008E679B">
        <w:rPr>
          <w:lang w:val="en-US" w:eastAsia="zh-CN"/>
        </w:rPr>
        <w:t>Do not support</w:t>
      </w:r>
      <w:r w:rsidR="008E679B">
        <w:rPr>
          <w:iCs/>
          <w:noProof/>
        </w:rPr>
        <w:t xml:space="preserve"> </w:t>
      </w:r>
      <w:r w:rsidR="008E679B" w:rsidRPr="008E679B">
        <w:rPr>
          <w:lang w:val="en-US" w:eastAsia="zh-CN"/>
        </w:rPr>
        <w:t>non-transparent scheme if no clear gain over transparent scheme is observed.</w:t>
      </w:r>
    </w:p>
    <w:p w14:paraId="36300299" w14:textId="2BF04963" w:rsidR="007E4A87" w:rsidRPr="007E4A87" w:rsidRDefault="007E4A87" w:rsidP="00041650">
      <w:pPr>
        <w:jc w:val="both"/>
        <w:rPr>
          <w:sz w:val="20"/>
          <w:szCs w:val="20"/>
          <w:lang w:val="en-GB"/>
        </w:rPr>
      </w:pPr>
    </w:p>
    <w:p w14:paraId="23674397" w14:textId="12ADFE51" w:rsidR="00D222D5" w:rsidRDefault="00D222D5" w:rsidP="00D222D5">
      <w:pPr>
        <w:pStyle w:val="Heading1"/>
      </w:pPr>
      <w:r>
        <w:t>Discussion on UE power high limit</w:t>
      </w:r>
    </w:p>
    <w:p w14:paraId="7DCA45F5" w14:textId="6F2449C5" w:rsidR="00B77E21" w:rsidRPr="004A52E8" w:rsidRDefault="004A52E8" w:rsidP="00011482">
      <w:pPr>
        <w:jc w:val="both"/>
        <w:rPr>
          <w:rFonts w:cs="Batang"/>
          <w:bCs/>
          <w:iCs/>
          <w:sz w:val="20"/>
          <w:szCs w:val="20"/>
          <w:lang w:eastAsia="ja-JP"/>
        </w:rPr>
      </w:pPr>
      <w:r>
        <w:rPr>
          <w:rFonts w:cs="Batang"/>
          <w:bCs/>
          <w:iCs/>
          <w:sz w:val="20"/>
          <w:szCs w:val="20"/>
          <w:lang w:val="en-GB" w:eastAsia="ja-JP"/>
        </w:rPr>
        <w:t>In</w:t>
      </w:r>
      <w:r w:rsidRPr="004A52E8">
        <w:rPr>
          <w:rFonts w:cs="Batang"/>
          <w:bCs/>
          <w:iCs/>
          <w:sz w:val="20"/>
          <w:szCs w:val="20"/>
          <w:lang w:eastAsia="ja-JP"/>
        </w:rPr>
        <w:t xml:space="preserve"> current specification (see </w:t>
      </w:r>
      <w:r>
        <w:rPr>
          <w:rFonts w:cs="Batang"/>
          <w:bCs/>
          <w:iCs/>
          <w:sz w:val="20"/>
          <w:szCs w:val="20"/>
          <w:lang w:eastAsia="ja-JP"/>
        </w:rPr>
        <w:t xml:space="preserve">for example </w:t>
      </w:r>
      <w:r w:rsidRPr="004A52E8">
        <w:rPr>
          <w:rFonts w:cs="Batang"/>
          <w:bCs/>
          <w:iCs/>
          <w:sz w:val="20"/>
          <w:szCs w:val="20"/>
          <w:lang w:eastAsia="ja-JP"/>
        </w:rPr>
        <w:t xml:space="preserve">38.101-1, clause 6.2.1), </w:t>
      </w:r>
      <w:r>
        <w:rPr>
          <w:rFonts w:cs="Batang"/>
          <w:bCs/>
          <w:iCs/>
          <w:sz w:val="20"/>
          <w:szCs w:val="20"/>
          <w:lang w:eastAsia="ja-JP"/>
        </w:rPr>
        <w:t>if</w:t>
      </w:r>
      <w:r w:rsidRPr="004A52E8">
        <w:rPr>
          <w:rFonts w:cs="Batang"/>
          <w:bCs/>
          <w:iCs/>
          <w:sz w:val="20"/>
          <w:szCs w:val="20"/>
          <w:lang w:eastAsia="ja-JP"/>
        </w:rPr>
        <w:t xml:space="preserve"> a UE supports a different power class than the default UE power class for the band and the supported power class enables the higher maximum output power than that of the default power class</w:t>
      </w:r>
      <w:r>
        <w:rPr>
          <w:rFonts w:cs="Batang"/>
          <w:bCs/>
          <w:iCs/>
          <w:sz w:val="20"/>
          <w:szCs w:val="20"/>
          <w:lang w:eastAsia="ja-JP"/>
        </w:rPr>
        <w:t>, under some conditions UE may switch to a higher power class, otherwise has to stay in default (</w:t>
      </w:r>
      <w:proofErr w:type="gramStart"/>
      <w:r>
        <w:rPr>
          <w:rFonts w:cs="Batang"/>
          <w:bCs/>
          <w:iCs/>
          <w:sz w:val="20"/>
          <w:szCs w:val="20"/>
          <w:lang w:eastAsia="ja-JP"/>
        </w:rPr>
        <w:t>i.e.</w:t>
      </w:r>
      <w:proofErr w:type="gramEnd"/>
      <w:r>
        <w:rPr>
          <w:rFonts w:cs="Batang"/>
          <w:bCs/>
          <w:iCs/>
          <w:sz w:val="20"/>
          <w:szCs w:val="20"/>
          <w:lang w:eastAsia="ja-JP"/>
        </w:rPr>
        <w:t xml:space="preserve"> PC3) power class. Some of those conditions are based on </w:t>
      </w:r>
      <w:r w:rsidRPr="004A52E8">
        <w:rPr>
          <w:rFonts w:cs="Batang"/>
          <w:bCs/>
          <w:iCs/>
          <w:sz w:val="20"/>
          <w:szCs w:val="20"/>
          <w:lang w:eastAsia="ja-JP"/>
        </w:rPr>
        <w:t>the percentage of uplink symbols transmitted in a certain evaluation period</w:t>
      </w:r>
      <w:r>
        <w:rPr>
          <w:rFonts w:cs="Batang"/>
          <w:bCs/>
          <w:iCs/>
          <w:sz w:val="20"/>
          <w:szCs w:val="20"/>
          <w:lang w:eastAsia="ja-JP"/>
        </w:rPr>
        <w:t>, where based on current specification, the</w:t>
      </w:r>
      <w:r w:rsidRPr="004A52E8">
        <w:rPr>
          <w:rFonts w:cs="Batang"/>
          <w:bCs/>
          <w:iCs/>
          <w:sz w:val="20"/>
          <w:szCs w:val="20"/>
          <w:lang w:eastAsia="ja-JP"/>
        </w:rPr>
        <w:t xml:space="preserve"> evaluation period is up to UE implementation, </w:t>
      </w:r>
      <w:r>
        <w:rPr>
          <w:rFonts w:cs="Batang"/>
          <w:bCs/>
          <w:iCs/>
          <w:sz w:val="20"/>
          <w:szCs w:val="20"/>
          <w:lang w:eastAsia="ja-JP"/>
        </w:rPr>
        <w:t xml:space="preserve">and </w:t>
      </w:r>
      <w:r w:rsidRPr="004A52E8">
        <w:rPr>
          <w:rFonts w:cs="Batang"/>
          <w:bCs/>
          <w:iCs/>
          <w:sz w:val="20"/>
          <w:szCs w:val="20"/>
          <w:lang w:eastAsia="ja-JP"/>
        </w:rPr>
        <w:t>no less than one radio frame.</w:t>
      </w:r>
      <w:r>
        <w:rPr>
          <w:rFonts w:cs="Batang"/>
          <w:bCs/>
          <w:iCs/>
          <w:sz w:val="20"/>
          <w:szCs w:val="20"/>
          <w:lang w:eastAsia="ja-JP"/>
        </w:rPr>
        <w:t xml:space="preserve"> This may end of with a situation that NW does not know when UE may switch the power class and/or how long UE may keep current power class. </w:t>
      </w:r>
      <w:r w:rsidR="00B95303">
        <w:rPr>
          <w:rFonts w:cs="Batang"/>
          <w:bCs/>
          <w:iCs/>
          <w:sz w:val="20"/>
          <w:szCs w:val="20"/>
          <w:lang w:val="en-GB" w:eastAsia="ja-JP"/>
        </w:rPr>
        <w:t xml:space="preserve">In RAN1#111, it was agreed that </w:t>
      </w:r>
    </w:p>
    <w:p w14:paraId="65BED061" w14:textId="2574D768" w:rsidR="00B95303" w:rsidRPr="00B95303" w:rsidRDefault="00B95303" w:rsidP="00B95303">
      <w:pPr>
        <w:jc w:val="both"/>
        <w:rPr>
          <w:rFonts w:eastAsia="DengXian"/>
          <w:sz w:val="20"/>
          <w:szCs w:val="20"/>
          <w:highlight w:val="green"/>
        </w:rPr>
      </w:pPr>
      <w:r w:rsidRPr="00B95303">
        <w:rPr>
          <w:rFonts w:eastAsia="DengXian"/>
          <w:sz w:val="20"/>
          <w:szCs w:val="20"/>
          <w:highlight w:val="green"/>
        </w:rPr>
        <w:t xml:space="preserve">Agreement </w:t>
      </w:r>
    </w:p>
    <w:p w14:paraId="644CF5B3" w14:textId="77777777" w:rsidR="00B95303" w:rsidRPr="00B95303" w:rsidRDefault="00B95303" w:rsidP="00B95303">
      <w:pPr>
        <w:numPr>
          <w:ilvl w:val="0"/>
          <w:numId w:val="31"/>
        </w:numPr>
        <w:jc w:val="both"/>
        <w:rPr>
          <w:sz w:val="20"/>
          <w:szCs w:val="20"/>
        </w:rPr>
      </w:pPr>
      <w:r w:rsidRPr="00B95303">
        <w:rPr>
          <w:sz w:val="20"/>
          <w:szCs w:val="20"/>
        </w:rPr>
        <w:t xml:space="preserve">At least the following enhancements to information exchange between UE and </w:t>
      </w:r>
      <w:proofErr w:type="spellStart"/>
      <w:r w:rsidRPr="00B95303">
        <w:rPr>
          <w:sz w:val="20"/>
          <w:szCs w:val="20"/>
        </w:rPr>
        <w:t>gNB</w:t>
      </w:r>
      <w:proofErr w:type="spellEnd"/>
      <w:r w:rsidRPr="00B95303">
        <w:rPr>
          <w:sz w:val="20"/>
          <w:szCs w:val="20"/>
        </w:rPr>
        <w:t xml:space="preserve"> to facilitate higher power transmissions in CA and DC can be considered for study. Enhanced signaling, if necessary and subject to RAN4’s input, to allow: </w:t>
      </w:r>
    </w:p>
    <w:p w14:paraId="777AB368"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Determination at </w:t>
      </w:r>
      <w:proofErr w:type="spellStart"/>
      <w:r w:rsidRPr="00B95303">
        <w:rPr>
          <w:rFonts w:ascii="Times New Roman" w:hAnsi="Times New Roman"/>
          <w:szCs w:val="20"/>
        </w:rPr>
        <w:t>gNB</w:t>
      </w:r>
      <w:proofErr w:type="spellEnd"/>
      <w:r w:rsidRPr="00B95303">
        <w:rPr>
          <w:rFonts w:ascii="Times New Roman" w:hAnsi="Times New Roman"/>
          <w:szCs w:val="20"/>
        </w:rPr>
        <w:t xml:space="preserve"> of power class change at the UE</w:t>
      </w:r>
    </w:p>
    <w:p w14:paraId="3941A5C0"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Increased awareness at </w:t>
      </w:r>
      <w:proofErr w:type="spellStart"/>
      <w:r w:rsidRPr="00B95303">
        <w:rPr>
          <w:rFonts w:ascii="Times New Roman" w:hAnsi="Times New Roman"/>
          <w:szCs w:val="20"/>
        </w:rPr>
        <w:t>gNB</w:t>
      </w:r>
      <w:proofErr w:type="spellEnd"/>
      <w:r w:rsidRPr="00B95303">
        <w:rPr>
          <w:rFonts w:ascii="Times New Roman" w:hAnsi="Times New Roman"/>
          <w:szCs w:val="20"/>
        </w:rPr>
        <w:t xml:space="preserve"> of energy/power availability at the UE, e.g., a budget.</w:t>
      </w:r>
    </w:p>
    <w:p w14:paraId="26809217" w14:textId="77777777" w:rsidR="00B95303" w:rsidRPr="00B95303" w:rsidRDefault="00B95303" w:rsidP="00B95303">
      <w:pPr>
        <w:pStyle w:val="ListParagraph"/>
        <w:numPr>
          <w:ilvl w:val="1"/>
          <w:numId w:val="30"/>
        </w:numPr>
        <w:ind w:leftChars="0"/>
        <w:contextualSpacing/>
        <w:jc w:val="both"/>
        <w:rPr>
          <w:rFonts w:ascii="Times New Roman" w:hAnsi="Times New Roman"/>
          <w:szCs w:val="20"/>
        </w:rPr>
      </w:pPr>
      <w:r w:rsidRPr="00B95303">
        <w:rPr>
          <w:rFonts w:ascii="Times New Roman" w:hAnsi="Times New Roman"/>
          <w:szCs w:val="20"/>
        </w:rPr>
        <w:lastRenderedPageBreak/>
        <w:t xml:space="preserve">More informative PHR to be sent from UE to </w:t>
      </w:r>
      <w:proofErr w:type="spellStart"/>
      <w:r w:rsidRPr="00B95303">
        <w:rPr>
          <w:rFonts w:ascii="Times New Roman" w:hAnsi="Times New Roman"/>
          <w:szCs w:val="20"/>
        </w:rPr>
        <w:t>gNB</w:t>
      </w:r>
      <w:proofErr w:type="spellEnd"/>
      <w:r w:rsidRPr="00B95303">
        <w:rPr>
          <w:rFonts w:ascii="Times New Roman" w:hAnsi="Times New Roman"/>
          <w:szCs w:val="20"/>
        </w:rPr>
        <w:t>, which may include, e.g., P-MPR related information, power headroom for carrier configured for DL but not UL, power class change indication.</w:t>
      </w:r>
    </w:p>
    <w:p w14:paraId="2D713FF1" w14:textId="77777777" w:rsidR="00B95303" w:rsidRPr="00B95303" w:rsidRDefault="00B95303" w:rsidP="00B95303">
      <w:pPr>
        <w:pStyle w:val="ListParagraph"/>
        <w:numPr>
          <w:ilvl w:val="0"/>
          <w:numId w:val="30"/>
        </w:numPr>
        <w:ind w:leftChars="0"/>
        <w:contextualSpacing/>
        <w:jc w:val="both"/>
        <w:rPr>
          <w:rFonts w:ascii="Times New Roman" w:hAnsi="Times New Roman"/>
          <w:szCs w:val="20"/>
        </w:rPr>
      </w:pPr>
      <w:r w:rsidRPr="00B95303">
        <w:rPr>
          <w:rFonts w:ascii="Times New Roman" w:hAnsi="Times New Roman"/>
          <w:szCs w:val="20"/>
        </w:rPr>
        <w:t xml:space="preserve">More effective scheduling decisions in the context of UL CA, e.g., best band combination, preferred carrier for servicing uplink, adaptive load sharing across sharing, </w:t>
      </w:r>
    </w:p>
    <w:p w14:paraId="6CAED43E" w14:textId="77777777" w:rsidR="00B95303" w:rsidRPr="00B95303" w:rsidRDefault="00B95303" w:rsidP="00B95303">
      <w:pPr>
        <w:numPr>
          <w:ilvl w:val="0"/>
          <w:numId w:val="31"/>
        </w:numPr>
        <w:jc w:val="both"/>
        <w:rPr>
          <w:sz w:val="20"/>
          <w:szCs w:val="20"/>
        </w:rPr>
      </w:pPr>
      <w:r w:rsidRPr="00B95303">
        <w:rPr>
          <w:sz w:val="20"/>
          <w:szCs w:val="20"/>
        </w:rPr>
        <w:t>Other options are not precluded.</w:t>
      </w:r>
    </w:p>
    <w:p w14:paraId="53079A7F" w14:textId="5E2EF63D" w:rsidR="00B95303" w:rsidRDefault="00B95303" w:rsidP="00011482">
      <w:pPr>
        <w:jc w:val="both"/>
        <w:rPr>
          <w:rFonts w:cs="Batang"/>
          <w:bCs/>
          <w:iCs/>
          <w:sz w:val="20"/>
          <w:szCs w:val="20"/>
          <w:lang w:val="en-GB" w:eastAsia="ja-JP"/>
        </w:rPr>
      </w:pPr>
    </w:p>
    <w:p w14:paraId="1BB1E540" w14:textId="2CDBCD8A" w:rsidR="008E679B" w:rsidRDefault="008E679B" w:rsidP="00011482">
      <w:pPr>
        <w:jc w:val="both"/>
        <w:rPr>
          <w:rFonts w:cs="Batang"/>
          <w:bCs/>
          <w:iCs/>
          <w:sz w:val="20"/>
          <w:szCs w:val="20"/>
          <w:lang w:val="en-GB" w:eastAsia="ja-JP"/>
        </w:rPr>
      </w:pPr>
      <w:r>
        <w:rPr>
          <w:rFonts w:cs="Batang"/>
          <w:bCs/>
          <w:iCs/>
          <w:sz w:val="20"/>
          <w:szCs w:val="20"/>
          <w:lang w:val="en-GB" w:eastAsia="ja-JP"/>
        </w:rPr>
        <w:t>Later in RAN1#112, the above agreement was refined as below</w:t>
      </w:r>
      <w:r w:rsidR="00DC4B22">
        <w:rPr>
          <w:rFonts w:cs="Batang"/>
          <w:bCs/>
          <w:iCs/>
          <w:sz w:val="20"/>
          <w:szCs w:val="20"/>
          <w:lang w:val="en-GB" w:eastAsia="ja-JP"/>
        </w:rPr>
        <w:t>:</w:t>
      </w:r>
    </w:p>
    <w:p w14:paraId="5FA2614B" w14:textId="77777777" w:rsidR="00DC4B22" w:rsidRDefault="00DC4B22" w:rsidP="00011482">
      <w:pPr>
        <w:jc w:val="both"/>
        <w:rPr>
          <w:rFonts w:cs="Batang"/>
          <w:bCs/>
          <w:iCs/>
          <w:sz w:val="20"/>
          <w:szCs w:val="20"/>
          <w:lang w:val="en-GB" w:eastAsia="ja-JP"/>
        </w:rPr>
      </w:pPr>
    </w:p>
    <w:p w14:paraId="10D53AB3" w14:textId="77777777" w:rsidR="008E679B" w:rsidRPr="008E679B" w:rsidRDefault="008E679B" w:rsidP="008E679B">
      <w:pPr>
        <w:jc w:val="both"/>
        <w:rPr>
          <w:b/>
          <w:bCs/>
          <w:sz w:val="20"/>
          <w:szCs w:val="20"/>
          <w:highlight w:val="green"/>
        </w:rPr>
      </w:pPr>
      <w:r w:rsidRPr="008E679B">
        <w:rPr>
          <w:b/>
          <w:bCs/>
          <w:sz w:val="20"/>
          <w:szCs w:val="20"/>
          <w:highlight w:val="green"/>
        </w:rPr>
        <w:t>Agreement (112)</w:t>
      </w:r>
    </w:p>
    <w:p w14:paraId="5F399641" w14:textId="77777777" w:rsidR="008E679B" w:rsidRPr="008E679B" w:rsidRDefault="008E679B" w:rsidP="008E679B">
      <w:pPr>
        <w:jc w:val="both"/>
        <w:rPr>
          <w:sz w:val="20"/>
          <w:szCs w:val="20"/>
        </w:rPr>
      </w:pPr>
      <w:r w:rsidRPr="008E679B">
        <w:rPr>
          <w:sz w:val="20"/>
          <w:szCs w:val="20"/>
        </w:rPr>
        <w:t xml:space="preserve">Further discussions in RAN1 concerning means to facilitate higher power transmissions in CA and DC, if applicable, can target increasing </w:t>
      </w:r>
      <w:proofErr w:type="spellStart"/>
      <w:r w:rsidRPr="008E679B">
        <w:rPr>
          <w:sz w:val="20"/>
          <w:szCs w:val="20"/>
        </w:rPr>
        <w:t>gNB</w:t>
      </w:r>
      <w:proofErr w:type="spellEnd"/>
      <w:r w:rsidRPr="008E679B">
        <w:rPr>
          <w:sz w:val="20"/>
          <w:szCs w:val="20"/>
        </w:rPr>
        <w:t xml:space="preserve"> awareness of UE’s Tx power, e.g., PHR reporting enhancement such as current power class, power class change, or application of P-MPR by UE (subject to RAN4’s input). </w:t>
      </w:r>
    </w:p>
    <w:p w14:paraId="3F46226A" w14:textId="77777777" w:rsidR="008E679B" w:rsidRPr="008E679B" w:rsidRDefault="008E679B" w:rsidP="008E679B">
      <w:pPr>
        <w:pStyle w:val="ListParagraph"/>
        <w:numPr>
          <w:ilvl w:val="0"/>
          <w:numId w:val="30"/>
        </w:numPr>
        <w:spacing w:before="120" w:after="120"/>
        <w:ind w:leftChars="0"/>
        <w:contextualSpacing/>
        <w:jc w:val="both"/>
        <w:rPr>
          <w:rFonts w:ascii="Times New Roman" w:hAnsi="Times New Roman"/>
          <w:szCs w:val="20"/>
        </w:rPr>
      </w:pPr>
      <w:r w:rsidRPr="008E679B">
        <w:rPr>
          <w:rFonts w:ascii="Times New Roman" w:hAnsi="Times New Roman"/>
          <w:szCs w:val="20"/>
        </w:rPr>
        <w:t>FFS: details.</w:t>
      </w:r>
    </w:p>
    <w:p w14:paraId="26AFD726" w14:textId="77777777" w:rsidR="008E679B" w:rsidRDefault="008E679B" w:rsidP="00011482">
      <w:pPr>
        <w:jc w:val="both"/>
        <w:rPr>
          <w:rFonts w:cs="Batang"/>
          <w:bCs/>
          <w:iCs/>
          <w:sz w:val="20"/>
          <w:szCs w:val="20"/>
          <w:lang w:val="en-GB" w:eastAsia="ja-JP"/>
        </w:rPr>
      </w:pPr>
    </w:p>
    <w:p w14:paraId="4AA95CC0" w14:textId="49C883D1" w:rsidR="004A52E8" w:rsidRDefault="004A52E8" w:rsidP="00011482">
      <w:pPr>
        <w:jc w:val="both"/>
        <w:rPr>
          <w:rFonts w:cs="Batang"/>
          <w:bCs/>
          <w:iCs/>
          <w:sz w:val="20"/>
          <w:szCs w:val="20"/>
          <w:lang w:eastAsia="ja-JP"/>
        </w:rPr>
      </w:pPr>
      <w:proofErr w:type="gramStart"/>
      <w:r>
        <w:rPr>
          <w:rFonts w:cs="Batang"/>
          <w:bCs/>
          <w:iCs/>
          <w:sz w:val="20"/>
          <w:szCs w:val="20"/>
          <w:lang w:val="en-GB" w:eastAsia="ja-JP"/>
        </w:rPr>
        <w:t>In order to</w:t>
      </w:r>
      <w:proofErr w:type="gramEnd"/>
      <w:r>
        <w:rPr>
          <w:rFonts w:cs="Batang"/>
          <w:bCs/>
          <w:iCs/>
          <w:sz w:val="20"/>
          <w:szCs w:val="20"/>
          <w:lang w:val="en-GB" w:eastAsia="ja-JP"/>
        </w:rPr>
        <w:t xml:space="preserve"> enhance existing </w:t>
      </w:r>
      <w:r w:rsidRPr="004A52E8">
        <w:rPr>
          <w:rFonts w:cs="Batang"/>
          <w:bCs/>
          <w:iCs/>
          <w:sz w:val="20"/>
          <w:szCs w:val="20"/>
          <w:lang w:eastAsia="ja-JP"/>
        </w:rPr>
        <w:t xml:space="preserve">mechanisms between UE and </w:t>
      </w:r>
      <w:proofErr w:type="spellStart"/>
      <w:r w:rsidRPr="004A52E8">
        <w:rPr>
          <w:rFonts w:cs="Batang"/>
          <w:bCs/>
          <w:iCs/>
          <w:sz w:val="20"/>
          <w:szCs w:val="20"/>
          <w:lang w:eastAsia="ja-JP"/>
        </w:rPr>
        <w:t>gNB</w:t>
      </w:r>
      <w:proofErr w:type="spellEnd"/>
      <w:r w:rsidRPr="004A52E8">
        <w:rPr>
          <w:rFonts w:cs="Batang"/>
          <w:bCs/>
          <w:iCs/>
          <w:sz w:val="20"/>
          <w:szCs w:val="20"/>
          <w:lang w:eastAsia="ja-JP"/>
        </w:rPr>
        <w:t xml:space="preserve"> to facilitate high power for non-CA scenario and also CA/DC scenario</w:t>
      </w:r>
      <w:r>
        <w:rPr>
          <w:rFonts w:cs="Batang"/>
          <w:bCs/>
          <w:iCs/>
          <w:sz w:val="20"/>
          <w:szCs w:val="20"/>
          <w:lang w:eastAsia="ja-JP"/>
        </w:rPr>
        <w:t>, we have the following proposal:</w:t>
      </w:r>
    </w:p>
    <w:p w14:paraId="2C75D858" w14:textId="77777777" w:rsidR="004A52E8" w:rsidRDefault="004A52E8" w:rsidP="00011482">
      <w:pPr>
        <w:jc w:val="both"/>
        <w:rPr>
          <w:rFonts w:cs="Batang"/>
          <w:bCs/>
          <w:iCs/>
          <w:sz w:val="20"/>
          <w:szCs w:val="20"/>
          <w:lang w:eastAsia="ja-JP"/>
        </w:rPr>
      </w:pPr>
    </w:p>
    <w:p w14:paraId="0D347543" w14:textId="65063368" w:rsidR="004A52E8" w:rsidRDefault="004A52E8" w:rsidP="00DC4B22">
      <w:pPr>
        <w:pStyle w:val="0Maintext"/>
        <w:spacing w:after="0" w:afterAutospacing="0" w:line="240" w:lineRule="auto"/>
        <w:ind w:firstLine="0"/>
      </w:pPr>
      <w:r w:rsidRPr="000B312E">
        <w:rPr>
          <w:b/>
          <w:bCs/>
          <w:lang w:val="en-US" w:eastAsia="zh-CN"/>
        </w:rPr>
        <w:t xml:space="preserve">Proposal </w:t>
      </w:r>
      <w:r w:rsidR="00DC4B22">
        <w:rPr>
          <w:b/>
          <w:bCs/>
          <w:lang w:val="en-US" w:eastAsia="zh-CN"/>
        </w:rPr>
        <w:t>2</w:t>
      </w:r>
      <w:r w:rsidRPr="000B312E">
        <w:rPr>
          <w:lang w:val="en-US" w:eastAsia="zh-CN"/>
        </w:rPr>
        <w:t xml:space="preserve">: </w:t>
      </w:r>
      <w:r w:rsidRPr="004A52E8">
        <w:t>Any event that results a change in power class will trigger an aperiodic PHR. Examples of such events are</w:t>
      </w:r>
      <w:r w:rsidR="00DC4B22">
        <w:t xml:space="preserve"> </w:t>
      </w:r>
      <w:r w:rsidRPr="004A52E8">
        <w:t xml:space="preserve">SAR (specific absorption rate) regulatory requirements (which is transparent to NW) </w:t>
      </w:r>
    </w:p>
    <w:p w14:paraId="319B6700" w14:textId="2C7FF69F" w:rsidR="007A1F9E" w:rsidRDefault="007A1F9E" w:rsidP="007A1F9E">
      <w:pPr>
        <w:pStyle w:val="Heading1"/>
      </w:pPr>
      <w:r>
        <w:t>Conclusion</w:t>
      </w:r>
    </w:p>
    <w:p w14:paraId="25AC3933" w14:textId="6DB16727"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3D4B6B">
        <w:rPr>
          <w:lang w:val="en-US" w:eastAsia="zh-CN"/>
        </w:rPr>
        <w:t>our views on MPR reduction techniques</w:t>
      </w:r>
      <w:r w:rsidR="004A52E8">
        <w:rPr>
          <w:lang w:val="en-US" w:eastAsia="zh-CN"/>
        </w:rPr>
        <w:t xml:space="preserve"> and </w:t>
      </w:r>
      <w:proofErr w:type="gramStart"/>
      <w:r w:rsidR="004A52E8">
        <w:rPr>
          <w:lang w:val="en-US" w:eastAsia="zh-CN"/>
        </w:rPr>
        <w:t>high power</w:t>
      </w:r>
      <w:proofErr w:type="gramEnd"/>
      <w:r w:rsidR="004A52E8">
        <w:rPr>
          <w:lang w:val="en-US" w:eastAsia="zh-CN"/>
        </w:rPr>
        <w:t xml:space="preserve"> UE</w:t>
      </w:r>
      <w:r w:rsidR="00CA3110">
        <w:rPr>
          <w:lang w:val="en-US" w:eastAsia="zh-CN"/>
        </w:rPr>
        <w:t>. Based on what we discussed, the following proposal</w:t>
      </w:r>
      <w:r w:rsidR="003C3216">
        <w:rPr>
          <w:lang w:val="en-US" w:eastAsia="zh-CN"/>
        </w:rPr>
        <w:t>s</w:t>
      </w:r>
      <w:r w:rsidR="00CA3110">
        <w:rPr>
          <w:lang w:val="en-US" w:eastAsia="zh-CN"/>
        </w:rPr>
        <w:t xml:space="preserve"> are made:</w:t>
      </w:r>
      <w:r w:rsidR="003C3216">
        <w:t xml:space="preserve"> </w:t>
      </w:r>
      <w:r w:rsidR="003C3216" w:rsidRPr="006D4F66">
        <w:t xml:space="preserve"> </w:t>
      </w:r>
    </w:p>
    <w:p w14:paraId="6015717B" w14:textId="38BB0A4F" w:rsidR="00DC4B22" w:rsidRPr="00DC4B22" w:rsidRDefault="00DC4B22" w:rsidP="00DC4B22">
      <w:pPr>
        <w:pStyle w:val="0Maintext"/>
        <w:spacing w:after="120" w:afterAutospacing="0" w:line="240" w:lineRule="auto"/>
        <w:ind w:firstLine="0"/>
        <w:rPr>
          <w:iCs/>
          <w:noProof/>
        </w:rPr>
      </w:pPr>
      <w:r w:rsidRPr="000B312E">
        <w:rPr>
          <w:b/>
          <w:bCs/>
          <w:lang w:val="en-US" w:eastAsia="zh-CN"/>
        </w:rPr>
        <w:t xml:space="preserve">Proposal </w:t>
      </w:r>
      <w:r>
        <w:rPr>
          <w:b/>
          <w:bCs/>
          <w:lang w:val="en-US" w:eastAsia="zh-CN"/>
        </w:rPr>
        <w:t>1</w:t>
      </w:r>
      <w:r w:rsidRPr="000B312E">
        <w:rPr>
          <w:lang w:val="en-US" w:eastAsia="zh-CN"/>
        </w:rPr>
        <w:t xml:space="preserve">: </w:t>
      </w:r>
      <w:r>
        <w:rPr>
          <w:lang w:val="en-US" w:eastAsia="zh-CN"/>
        </w:rPr>
        <w:t>Do not support</w:t>
      </w:r>
      <w:r>
        <w:rPr>
          <w:iCs/>
          <w:noProof/>
        </w:rPr>
        <w:t xml:space="preserve"> </w:t>
      </w:r>
      <w:r w:rsidRPr="008E679B">
        <w:rPr>
          <w:lang w:val="en-US" w:eastAsia="zh-CN"/>
        </w:rPr>
        <w:t>non-transparent scheme if no clear gain over transparent scheme is observed.</w:t>
      </w:r>
    </w:p>
    <w:p w14:paraId="31AF53BA" w14:textId="77777777" w:rsidR="00DC4B22" w:rsidRDefault="00DC4B22" w:rsidP="00DC4B22">
      <w:pPr>
        <w:pStyle w:val="0Maintext"/>
        <w:spacing w:after="0" w:afterAutospacing="0" w:line="240" w:lineRule="auto"/>
        <w:ind w:firstLine="0"/>
      </w:pPr>
      <w:r w:rsidRPr="000B312E">
        <w:rPr>
          <w:b/>
          <w:bCs/>
          <w:lang w:val="en-US" w:eastAsia="zh-CN"/>
        </w:rPr>
        <w:t xml:space="preserve">Proposal </w:t>
      </w:r>
      <w:r>
        <w:rPr>
          <w:b/>
          <w:bCs/>
          <w:lang w:val="en-US" w:eastAsia="zh-CN"/>
        </w:rPr>
        <w:t>2</w:t>
      </w:r>
      <w:r w:rsidRPr="000B312E">
        <w:rPr>
          <w:lang w:val="en-US" w:eastAsia="zh-CN"/>
        </w:rPr>
        <w:t xml:space="preserve">: </w:t>
      </w:r>
      <w:r w:rsidRPr="004A52E8">
        <w:t>Any event that results a change in power class will trigger an aperiodic PHR. Examples of such events are</w:t>
      </w:r>
      <w:r>
        <w:t xml:space="preserve"> </w:t>
      </w:r>
      <w:r w:rsidRPr="004A52E8">
        <w:t xml:space="preserve">SAR (specific absorption rate) regulatory requirements (which is transparent to NW) </w:t>
      </w:r>
    </w:p>
    <w:p w14:paraId="5620B9B3" w14:textId="77777777" w:rsidR="004A52E8" w:rsidRPr="000B312E" w:rsidRDefault="004A52E8" w:rsidP="006D6D9F">
      <w:pPr>
        <w:pStyle w:val="0Maintext"/>
        <w:spacing w:after="0" w:afterAutospacing="0" w:line="240" w:lineRule="auto"/>
        <w:ind w:firstLine="0"/>
      </w:pP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t>References</w:t>
      </w:r>
    </w:p>
    <w:p w14:paraId="74F364BD" w14:textId="11F04F53" w:rsidR="00BA1D6C" w:rsidRPr="00CA5F98" w:rsidRDefault="00956698" w:rsidP="00CA5F98">
      <w:pPr>
        <w:widowControl w:val="0"/>
        <w:numPr>
          <w:ilvl w:val="0"/>
          <w:numId w:val="14"/>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sectPr w:rsidR="00BA1D6C" w:rsidRPr="00CA5F9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3F1A16"/>
    <w:multiLevelType w:val="hybridMultilevel"/>
    <w:tmpl w:val="90A0D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10"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5"/>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4"/>
  </w:num>
  <w:num w:numId="5" w16cid:durableId="559053736">
    <w:abstractNumId w:val="11"/>
  </w:num>
  <w:num w:numId="6" w16cid:durableId="1855418263">
    <w:abstractNumId w:val="3"/>
  </w:num>
  <w:num w:numId="7" w16cid:durableId="1158962368">
    <w:abstractNumId w:val="5"/>
  </w:num>
  <w:num w:numId="8" w16cid:durableId="124978665">
    <w:abstractNumId w:val="22"/>
  </w:num>
  <w:num w:numId="9" w16cid:durableId="1560631235">
    <w:abstractNumId w:val="3"/>
  </w:num>
  <w:num w:numId="10" w16cid:durableId="1957518174">
    <w:abstractNumId w:val="21"/>
  </w:num>
  <w:num w:numId="11" w16cid:durableId="148325099">
    <w:abstractNumId w:val="27"/>
  </w:num>
  <w:num w:numId="12" w16cid:durableId="1367829081">
    <w:abstractNumId w:val="3"/>
  </w:num>
  <w:num w:numId="13" w16cid:durableId="1458793434">
    <w:abstractNumId w:val="18"/>
  </w:num>
  <w:num w:numId="14" w16cid:durableId="1120991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0"/>
  </w:num>
  <w:num w:numId="16" w16cid:durableId="753893123">
    <w:abstractNumId w:val="1"/>
  </w:num>
  <w:num w:numId="17" w16cid:durableId="298189470">
    <w:abstractNumId w:val="8"/>
  </w:num>
  <w:num w:numId="18" w16cid:durableId="967591525">
    <w:abstractNumId w:val="17"/>
  </w:num>
  <w:num w:numId="19" w16cid:durableId="1887063373">
    <w:abstractNumId w:val="2"/>
  </w:num>
  <w:num w:numId="20" w16cid:durableId="995575650">
    <w:abstractNumId w:val="15"/>
  </w:num>
  <w:num w:numId="21" w16cid:durableId="91947407">
    <w:abstractNumId w:val="26"/>
  </w:num>
  <w:num w:numId="22" w16cid:durableId="1644263982">
    <w:abstractNumId w:val="16"/>
  </w:num>
  <w:num w:numId="23" w16cid:durableId="641690042">
    <w:abstractNumId w:val="16"/>
  </w:num>
  <w:num w:numId="24" w16cid:durableId="314190868">
    <w:abstractNumId w:val="6"/>
  </w:num>
  <w:num w:numId="25" w16cid:durableId="1991518832">
    <w:abstractNumId w:val="23"/>
  </w:num>
  <w:num w:numId="26" w16cid:durableId="675617132">
    <w:abstractNumId w:val="20"/>
  </w:num>
  <w:num w:numId="27" w16cid:durableId="11498543">
    <w:abstractNumId w:val="4"/>
  </w:num>
  <w:num w:numId="28" w16cid:durableId="1294562916">
    <w:abstractNumId w:val="7"/>
  </w:num>
  <w:num w:numId="29" w16cid:durableId="717317252">
    <w:abstractNumId w:val="24"/>
  </w:num>
  <w:num w:numId="30" w16cid:durableId="1011299586">
    <w:abstractNumId w:val="19"/>
  </w:num>
  <w:num w:numId="31" w16cid:durableId="1464076397">
    <w:abstractNumId w:val="13"/>
  </w:num>
  <w:num w:numId="32" w16cid:durableId="89465703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476"/>
    <w:rsid w:val="00055D16"/>
    <w:rsid w:val="00055F76"/>
    <w:rsid w:val="0005612B"/>
    <w:rsid w:val="00057599"/>
    <w:rsid w:val="000605BB"/>
    <w:rsid w:val="00063843"/>
    <w:rsid w:val="000639F0"/>
    <w:rsid w:val="0006765A"/>
    <w:rsid w:val="00071AFF"/>
    <w:rsid w:val="000756C7"/>
    <w:rsid w:val="0007732F"/>
    <w:rsid w:val="00081B2B"/>
    <w:rsid w:val="00081C5F"/>
    <w:rsid w:val="00085223"/>
    <w:rsid w:val="0008670F"/>
    <w:rsid w:val="000923EC"/>
    <w:rsid w:val="00094353"/>
    <w:rsid w:val="000A1890"/>
    <w:rsid w:val="000A2BB7"/>
    <w:rsid w:val="000A38C4"/>
    <w:rsid w:val="000A79C9"/>
    <w:rsid w:val="000B2E59"/>
    <w:rsid w:val="000B312E"/>
    <w:rsid w:val="000B5098"/>
    <w:rsid w:val="000C0C18"/>
    <w:rsid w:val="000C7006"/>
    <w:rsid w:val="000D0F78"/>
    <w:rsid w:val="000D2660"/>
    <w:rsid w:val="000D4A1A"/>
    <w:rsid w:val="000D54C9"/>
    <w:rsid w:val="000D5F6E"/>
    <w:rsid w:val="000E2519"/>
    <w:rsid w:val="000E36E5"/>
    <w:rsid w:val="000F2C70"/>
    <w:rsid w:val="0010269A"/>
    <w:rsid w:val="001033DC"/>
    <w:rsid w:val="00103EC9"/>
    <w:rsid w:val="00107247"/>
    <w:rsid w:val="0012163E"/>
    <w:rsid w:val="00122C43"/>
    <w:rsid w:val="0012447C"/>
    <w:rsid w:val="00127219"/>
    <w:rsid w:val="00130A25"/>
    <w:rsid w:val="0013108B"/>
    <w:rsid w:val="00133695"/>
    <w:rsid w:val="00134A16"/>
    <w:rsid w:val="00134CE7"/>
    <w:rsid w:val="001406A2"/>
    <w:rsid w:val="00140849"/>
    <w:rsid w:val="00142FD2"/>
    <w:rsid w:val="00145088"/>
    <w:rsid w:val="0014756C"/>
    <w:rsid w:val="001511AC"/>
    <w:rsid w:val="00153773"/>
    <w:rsid w:val="0015382F"/>
    <w:rsid w:val="00161E92"/>
    <w:rsid w:val="00162C20"/>
    <w:rsid w:val="001655D0"/>
    <w:rsid w:val="001661E0"/>
    <w:rsid w:val="00174B7D"/>
    <w:rsid w:val="0018214E"/>
    <w:rsid w:val="00185A0B"/>
    <w:rsid w:val="0018607A"/>
    <w:rsid w:val="00193222"/>
    <w:rsid w:val="00194BBD"/>
    <w:rsid w:val="0019597B"/>
    <w:rsid w:val="00195CDD"/>
    <w:rsid w:val="001A1E71"/>
    <w:rsid w:val="001A4FA2"/>
    <w:rsid w:val="001A5A42"/>
    <w:rsid w:val="001A5F2D"/>
    <w:rsid w:val="001A7C0A"/>
    <w:rsid w:val="001B0BC6"/>
    <w:rsid w:val="001B28C8"/>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62A2"/>
    <w:rsid w:val="001E73AB"/>
    <w:rsid w:val="001E7C26"/>
    <w:rsid w:val="001E7EE4"/>
    <w:rsid w:val="001F1442"/>
    <w:rsid w:val="00203A0D"/>
    <w:rsid w:val="00205FF8"/>
    <w:rsid w:val="0020631C"/>
    <w:rsid w:val="002134C9"/>
    <w:rsid w:val="00215CAC"/>
    <w:rsid w:val="0022064E"/>
    <w:rsid w:val="0022367D"/>
    <w:rsid w:val="00227ADC"/>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87E95"/>
    <w:rsid w:val="0029000E"/>
    <w:rsid w:val="002948FF"/>
    <w:rsid w:val="0029769A"/>
    <w:rsid w:val="002A1F80"/>
    <w:rsid w:val="002A274D"/>
    <w:rsid w:val="002A5B21"/>
    <w:rsid w:val="002A7EFF"/>
    <w:rsid w:val="002B0171"/>
    <w:rsid w:val="002B11FC"/>
    <w:rsid w:val="002B21D4"/>
    <w:rsid w:val="002B72F3"/>
    <w:rsid w:val="002C1494"/>
    <w:rsid w:val="002C2CE9"/>
    <w:rsid w:val="002C4EFD"/>
    <w:rsid w:val="002C7880"/>
    <w:rsid w:val="002C796C"/>
    <w:rsid w:val="002D2CAA"/>
    <w:rsid w:val="002D2FF0"/>
    <w:rsid w:val="002D4B22"/>
    <w:rsid w:val="002D5309"/>
    <w:rsid w:val="002D63C3"/>
    <w:rsid w:val="002D6F69"/>
    <w:rsid w:val="002E2806"/>
    <w:rsid w:val="002E337E"/>
    <w:rsid w:val="002E5153"/>
    <w:rsid w:val="002E7D5F"/>
    <w:rsid w:val="002F3060"/>
    <w:rsid w:val="002F45F1"/>
    <w:rsid w:val="002F498B"/>
    <w:rsid w:val="00300829"/>
    <w:rsid w:val="00301356"/>
    <w:rsid w:val="0030554A"/>
    <w:rsid w:val="00306493"/>
    <w:rsid w:val="003105DC"/>
    <w:rsid w:val="00311CE0"/>
    <w:rsid w:val="0031378A"/>
    <w:rsid w:val="00315F36"/>
    <w:rsid w:val="003204CF"/>
    <w:rsid w:val="00322AFC"/>
    <w:rsid w:val="00325329"/>
    <w:rsid w:val="003262D0"/>
    <w:rsid w:val="00326AED"/>
    <w:rsid w:val="00333CE6"/>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4707"/>
    <w:rsid w:val="0038526E"/>
    <w:rsid w:val="003856D0"/>
    <w:rsid w:val="00387EB0"/>
    <w:rsid w:val="00391636"/>
    <w:rsid w:val="00391A0C"/>
    <w:rsid w:val="003944D1"/>
    <w:rsid w:val="0039545B"/>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4B6B"/>
    <w:rsid w:val="003D51F2"/>
    <w:rsid w:val="003E0060"/>
    <w:rsid w:val="003E0B46"/>
    <w:rsid w:val="003E66DF"/>
    <w:rsid w:val="003E75B6"/>
    <w:rsid w:val="003F33CB"/>
    <w:rsid w:val="003F7F88"/>
    <w:rsid w:val="00410523"/>
    <w:rsid w:val="0041336F"/>
    <w:rsid w:val="00414973"/>
    <w:rsid w:val="0041645E"/>
    <w:rsid w:val="00417FC9"/>
    <w:rsid w:val="00427C39"/>
    <w:rsid w:val="004312F7"/>
    <w:rsid w:val="00434E5C"/>
    <w:rsid w:val="00440AC7"/>
    <w:rsid w:val="004412BA"/>
    <w:rsid w:val="0044499D"/>
    <w:rsid w:val="00445788"/>
    <w:rsid w:val="00446F00"/>
    <w:rsid w:val="004504F1"/>
    <w:rsid w:val="004531A0"/>
    <w:rsid w:val="0045482E"/>
    <w:rsid w:val="00457F5D"/>
    <w:rsid w:val="00461B15"/>
    <w:rsid w:val="00462035"/>
    <w:rsid w:val="00466F57"/>
    <w:rsid w:val="004704C9"/>
    <w:rsid w:val="00472D33"/>
    <w:rsid w:val="00473F4B"/>
    <w:rsid w:val="004752EB"/>
    <w:rsid w:val="0047640E"/>
    <w:rsid w:val="004837C5"/>
    <w:rsid w:val="00485EDE"/>
    <w:rsid w:val="004A2991"/>
    <w:rsid w:val="004A41EF"/>
    <w:rsid w:val="004A52E8"/>
    <w:rsid w:val="004A5D6B"/>
    <w:rsid w:val="004A7A40"/>
    <w:rsid w:val="004B3124"/>
    <w:rsid w:val="004B368D"/>
    <w:rsid w:val="004B3DF5"/>
    <w:rsid w:val="004B4D8D"/>
    <w:rsid w:val="004B6AB7"/>
    <w:rsid w:val="004B74CC"/>
    <w:rsid w:val="004C4A14"/>
    <w:rsid w:val="004C6ABA"/>
    <w:rsid w:val="004C7036"/>
    <w:rsid w:val="004E01AD"/>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71C1E"/>
    <w:rsid w:val="00574720"/>
    <w:rsid w:val="00576934"/>
    <w:rsid w:val="0057794A"/>
    <w:rsid w:val="0058134C"/>
    <w:rsid w:val="00583230"/>
    <w:rsid w:val="00593FCB"/>
    <w:rsid w:val="0059417B"/>
    <w:rsid w:val="00596063"/>
    <w:rsid w:val="0059787C"/>
    <w:rsid w:val="005B0F7A"/>
    <w:rsid w:val="005B1AD1"/>
    <w:rsid w:val="005B6997"/>
    <w:rsid w:val="005C21D9"/>
    <w:rsid w:val="005C55E7"/>
    <w:rsid w:val="005C7B97"/>
    <w:rsid w:val="005D45F7"/>
    <w:rsid w:val="005D5175"/>
    <w:rsid w:val="005D5233"/>
    <w:rsid w:val="005D5F39"/>
    <w:rsid w:val="005D5FF3"/>
    <w:rsid w:val="005E18E3"/>
    <w:rsid w:val="005E25D9"/>
    <w:rsid w:val="005E44F4"/>
    <w:rsid w:val="005E5E14"/>
    <w:rsid w:val="005E7444"/>
    <w:rsid w:val="005F15CC"/>
    <w:rsid w:val="005F7A0E"/>
    <w:rsid w:val="00600FC5"/>
    <w:rsid w:val="00604C3D"/>
    <w:rsid w:val="0061765C"/>
    <w:rsid w:val="00620C29"/>
    <w:rsid w:val="00622552"/>
    <w:rsid w:val="00624E1C"/>
    <w:rsid w:val="00626317"/>
    <w:rsid w:val="00626534"/>
    <w:rsid w:val="00631A14"/>
    <w:rsid w:val="006337E5"/>
    <w:rsid w:val="00634AF5"/>
    <w:rsid w:val="00634B61"/>
    <w:rsid w:val="006362D2"/>
    <w:rsid w:val="00636D7B"/>
    <w:rsid w:val="00641951"/>
    <w:rsid w:val="0064204C"/>
    <w:rsid w:val="00645994"/>
    <w:rsid w:val="006531B1"/>
    <w:rsid w:val="00654D1D"/>
    <w:rsid w:val="00656CB0"/>
    <w:rsid w:val="00660BC6"/>
    <w:rsid w:val="00660CC8"/>
    <w:rsid w:val="0066205A"/>
    <w:rsid w:val="00663A24"/>
    <w:rsid w:val="00666868"/>
    <w:rsid w:val="006700A5"/>
    <w:rsid w:val="00672A3E"/>
    <w:rsid w:val="00675931"/>
    <w:rsid w:val="006823E7"/>
    <w:rsid w:val="006824B2"/>
    <w:rsid w:val="00682EED"/>
    <w:rsid w:val="0068752E"/>
    <w:rsid w:val="00695A77"/>
    <w:rsid w:val="00696D14"/>
    <w:rsid w:val="006A43D9"/>
    <w:rsid w:val="006A45D6"/>
    <w:rsid w:val="006A57C0"/>
    <w:rsid w:val="006B060B"/>
    <w:rsid w:val="006B13B0"/>
    <w:rsid w:val="006B3E00"/>
    <w:rsid w:val="006B5D4F"/>
    <w:rsid w:val="006C31DE"/>
    <w:rsid w:val="006C3506"/>
    <w:rsid w:val="006C4E0D"/>
    <w:rsid w:val="006D3E33"/>
    <w:rsid w:val="006D4F66"/>
    <w:rsid w:val="006D54CF"/>
    <w:rsid w:val="006D68DA"/>
    <w:rsid w:val="006D6D9F"/>
    <w:rsid w:val="006E3B40"/>
    <w:rsid w:val="006E6598"/>
    <w:rsid w:val="006F07E3"/>
    <w:rsid w:val="006F0EC9"/>
    <w:rsid w:val="006F1302"/>
    <w:rsid w:val="006F274D"/>
    <w:rsid w:val="006F66D2"/>
    <w:rsid w:val="007023D6"/>
    <w:rsid w:val="00707829"/>
    <w:rsid w:val="0071089C"/>
    <w:rsid w:val="00720BE8"/>
    <w:rsid w:val="00720EBF"/>
    <w:rsid w:val="00721836"/>
    <w:rsid w:val="00724642"/>
    <w:rsid w:val="00732388"/>
    <w:rsid w:val="0073426D"/>
    <w:rsid w:val="00741FE6"/>
    <w:rsid w:val="00744E6D"/>
    <w:rsid w:val="00751E2A"/>
    <w:rsid w:val="00753D11"/>
    <w:rsid w:val="00754163"/>
    <w:rsid w:val="00754F02"/>
    <w:rsid w:val="0075517A"/>
    <w:rsid w:val="00755777"/>
    <w:rsid w:val="007570AB"/>
    <w:rsid w:val="007660E5"/>
    <w:rsid w:val="00770366"/>
    <w:rsid w:val="00771C09"/>
    <w:rsid w:val="007720DD"/>
    <w:rsid w:val="007727CB"/>
    <w:rsid w:val="007740EF"/>
    <w:rsid w:val="0078114E"/>
    <w:rsid w:val="007A1F9E"/>
    <w:rsid w:val="007A41E3"/>
    <w:rsid w:val="007B25CD"/>
    <w:rsid w:val="007B273D"/>
    <w:rsid w:val="007B5221"/>
    <w:rsid w:val="007C232B"/>
    <w:rsid w:val="007C580B"/>
    <w:rsid w:val="007D75D0"/>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C78"/>
    <w:rsid w:val="00822058"/>
    <w:rsid w:val="0082334B"/>
    <w:rsid w:val="008236A0"/>
    <w:rsid w:val="008251EA"/>
    <w:rsid w:val="00830BA2"/>
    <w:rsid w:val="0083279F"/>
    <w:rsid w:val="008331B0"/>
    <w:rsid w:val="00834862"/>
    <w:rsid w:val="00836817"/>
    <w:rsid w:val="00860F75"/>
    <w:rsid w:val="00861042"/>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F33"/>
    <w:rsid w:val="008A65A1"/>
    <w:rsid w:val="008A69C1"/>
    <w:rsid w:val="008B1BA3"/>
    <w:rsid w:val="008B24BF"/>
    <w:rsid w:val="008B333E"/>
    <w:rsid w:val="008B6BD7"/>
    <w:rsid w:val="008C009A"/>
    <w:rsid w:val="008C2187"/>
    <w:rsid w:val="008C4747"/>
    <w:rsid w:val="008C748C"/>
    <w:rsid w:val="008D0789"/>
    <w:rsid w:val="008D18C8"/>
    <w:rsid w:val="008D3DD1"/>
    <w:rsid w:val="008D6AE1"/>
    <w:rsid w:val="008E0B6D"/>
    <w:rsid w:val="008E679B"/>
    <w:rsid w:val="008F0E83"/>
    <w:rsid w:val="008F11CC"/>
    <w:rsid w:val="008F24A4"/>
    <w:rsid w:val="00901D2D"/>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6698"/>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9DB"/>
    <w:rsid w:val="00990D66"/>
    <w:rsid w:val="00991897"/>
    <w:rsid w:val="00991DC3"/>
    <w:rsid w:val="00992D77"/>
    <w:rsid w:val="00993596"/>
    <w:rsid w:val="00997267"/>
    <w:rsid w:val="009B0E3C"/>
    <w:rsid w:val="009B4563"/>
    <w:rsid w:val="009B7EB1"/>
    <w:rsid w:val="009C3BBA"/>
    <w:rsid w:val="009C3CE8"/>
    <w:rsid w:val="009C4CA6"/>
    <w:rsid w:val="009C53B3"/>
    <w:rsid w:val="009D18CF"/>
    <w:rsid w:val="009D1C4F"/>
    <w:rsid w:val="009E0E57"/>
    <w:rsid w:val="009E16AA"/>
    <w:rsid w:val="009E2F96"/>
    <w:rsid w:val="009E56BE"/>
    <w:rsid w:val="009F58CE"/>
    <w:rsid w:val="009F7D20"/>
    <w:rsid w:val="00A03C3A"/>
    <w:rsid w:val="00A049D5"/>
    <w:rsid w:val="00A11012"/>
    <w:rsid w:val="00A11EE9"/>
    <w:rsid w:val="00A13349"/>
    <w:rsid w:val="00A1371C"/>
    <w:rsid w:val="00A13AE3"/>
    <w:rsid w:val="00A14D2A"/>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A10"/>
    <w:rsid w:val="00A64DCF"/>
    <w:rsid w:val="00A67EE8"/>
    <w:rsid w:val="00A805B9"/>
    <w:rsid w:val="00A80DF8"/>
    <w:rsid w:val="00A81738"/>
    <w:rsid w:val="00A86777"/>
    <w:rsid w:val="00A9213A"/>
    <w:rsid w:val="00A93DEE"/>
    <w:rsid w:val="00A95A78"/>
    <w:rsid w:val="00AA286C"/>
    <w:rsid w:val="00AA31AA"/>
    <w:rsid w:val="00AA4EE3"/>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344A"/>
    <w:rsid w:val="00B058BB"/>
    <w:rsid w:val="00B05BB5"/>
    <w:rsid w:val="00B0669A"/>
    <w:rsid w:val="00B06EFF"/>
    <w:rsid w:val="00B07537"/>
    <w:rsid w:val="00B12FE5"/>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E1B"/>
    <w:rsid w:val="00B72388"/>
    <w:rsid w:val="00B75C79"/>
    <w:rsid w:val="00B75DD5"/>
    <w:rsid w:val="00B76E3D"/>
    <w:rsid w:val="00B77E21"/>
    <w:rsid w:val="00B80C85"/>
    <w:rsid w:val="00B816BB"/>
    <w:rsid w:val="00B818F1"/>
    <w:rsid w:val="00B82948"/>
    <w:rsid w:val="00B83E2D"/>
    <w:rsid w:val="00B86B50"/>
    <w:rsid w:val="00B87366"/>
    <w:rsid w:val="00B875E8"/>
    <w:rsid w:val="00B9053A"/>
    <w:rsid w:val="00B90F77"/>
    <w:rsid w:val="00B931DB"/>
    <w:rsid w:val="00B95303"/>
    <w:rsid w:val="00B96152"/>
    <w:rsid w:val="00BA1D6C"/>
    <w:rsid w:val="00BA2E33"/>
    <w:rsid w:val="00BB5B03"/>
    <w:rsid w:val="00BB64B1"/>
    <w:rsid w:val="00BB7080"/>
    <w:rsid w:val="00BB799A"/>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129B9"/>
    <w:rsid w:val="00C1528C"/>
    <w:rsid w:val="00C20B5B"/>
    <w:rsid w:val="00C2111A"/>
    <w:rsid w:val="00C36165"/>
    <w:rsid w:val="00C36E32"/>
    <w:rsid w:val="00C405FD"/>
    <w:rsid w:val="00C434FF"/>
    <w:rsid w:val="00C46B5C"/>
    <w:rsid w:val="00C5338B"/>
    <w:rsid w:val="00C54E91"/>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A5F9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2D5"/>
    <w:rsid w:val="00D22343"/>
    <w:rsid w:val="00D22732"/>
    <w:rsid w:val="00D24E9A"/>
    <w:rsid w:val="00D263F1"/>
    <w:rsid w:val="00D313A3"/>
    <w:rsid w:val="00D31D9D"/>
    <w:rsid w:val="00D36836"/>
    <w:rsid w:val="00D40277"/>
    <w:rsid w:val="00D402CA"/>
    <w:rsid w:val="00D406E1"/>
    <w:rsid w:val="00D41E6C"/>
    <w:rsid w:val="00D4456A"/>
    <w:rsid w:val="00D44CB2"/>
    <w:rsid w:val="00D45E02"/>
    <w:rsid w:val="00D46443"/>
    <w:rsid w:val="00D47F37"/>
    <w:rsid w:val="00D516C8"/>
    <w:rsid w:val="00D54E04"/>
    <w:rsid w:val="00D57E64"/>
    <w:rsid w:val="00D613FB"/>
    <w:rsid w:val="00D623A6"/>
    <w:rsid w:val="00D757D2"/>
    <w:rsid w:val="00D776B7"/>
    <w:rsid w:val="00D82BE1"/>
    <w:rsid w:val="00D83D3F"/>
    <w:rsid w:val="00D85599"/>
    <w:rsid w:val="00D9083F"/>
    <w:rsid w:val="00D92B3F"/>
    <w:rsid w:val="00DA3C55"/>
    <w:rsid w:val="00DA570C"/>
    <w:rsid w:val="00DA5EB1"/>
    <w:rsid w:val="00DB1A36"/>
    <w:rsid w:val="00DB481F"/>
    <w:rsid w:val="00DB4A10"/>
    <w:rsid w:val="00DB7E54"/>
    <w:rsid w:val="00DB7FC3"/>
    <w:rsid w:val="00DC1188"/>
    <w:rsid w:val="00DC3653"/>
    <w:rsid w:val="00DC4B22"/>
    <w:rsid w:val="00DD2F2D"/>
    <w:rsid w:val="00DE5C43"/>
    <w:rsid w:val="00DF0066"/>
    <w:rsid w:val="00DF4C2B"/>
    <w:rsid w:val="00E00694"/>
    <w:rsid w:val="00E0187B"/>
    <w:rsid w:val="00E07B5F"/>
    <w:rsid w:val="00E10633"/>
    <w:rsid w:val="00E11B95"/>
    <w:rsid w:val="00E11EDC"/>
    <w:rsid w:val="00E12DDA"/>
    <w:rsid w:val="00E24C66"/>
    <w:rsid w:val="00E27C0E"/>
    <w:rsid w:val="00E30225"/>
    <w:rsid w:val="00E327AE"/>
    <w:rsid w:val="00E344A2"/>
    <w:rsid w:val="00E34CC5"/>
    <w:rsid w:val="00E35546"/>
    <w:rsid w:val="00E35592"/>
    <w:rsid w:val="00E36877"/>
    <w:rsid w:val="00E4025A"/>
    <w:rsid w:val="00E41989"/>
    <w:rsid w:val="00E479E0"/>
    <w:rsid w:val="00E50BFF"/>
    <w:rsid w:val="00E55EB5"/>
    <w:rsid w:val="00E56A0E"/>
    <w:rsid w:val="00E600BE"/>
    <w:rsid w:val="00E60394"/>
    <w:rsid w:val="00E614BF"/>
    <w:rsid w:val="00E7599B"/>
    <w:rsid w:val="00E75B21"/>
    <w:rsid w:val="00E76D67"/>
    <w:rsid w:val="00E80518"/>
    <w:rsid w:val="00E83E9A"/>
    <w:rsid w:val="00E852C2"/>
    <w:rsid w:val="00E86FD9"/>
    <w:rsid w:val="00E913CB"/>
    <w:rsid w:val="00E930EE"/>
    <w:rsid w:val="00E96857"/>
    <w:rsid w:val="00E96C6C"/>
    <w:rsid w:val="00E97F99"/>
    <w:rsid w:val="00EA02A2"/>
    <w:rsid w:val="00EA0E7B"/>
    <w:rsid w:val="00EA0F9C"/>
    <w:rsid w:val="00EA2090"/>
    <w:rsid w:val="00EA73C1"/>
    <w:rsid w:val="00EA7665"/>
    <w:rsid w:val="00EC0F55"/>
    <w:rsid w:val="00EC1E25"/>
    <w:rsid w:val="00EC2A35"/>
    <w:rsid w:val="00EC3674"/>
    <w:rsid w:val="00EC42C0"/>
    <w:rsid w:val="00ED07C3"/>
    <w:rsid w:val="00ED0C58"/>
    <w:rsid w:val="00ED2DD0"/>
    <w:rsid w:val="00EE043A"/>
    <w:rsid w:val="00EE18CC"/>
    <w:rsid w:val="00EE35BB"/>
    <w:rsid w:val="00EE36B0"/>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97F26"/>
    <w:rsid w:val="00FA0560"/>
    <w:rsid w:val="00FA08D6"/>
    <w:rsid w:val="00FA0DD1"/>
    <w:rsid w:val="00FA2F4C"/>
    <w:rsid w:val="00FA3A61"/>
    <w:rsid w:val="00FA48C3"/>
    <w:rsid w:val="00FA5BF8"/>
    <w:rsid w:val="00FB632D"/>
    <w:rsid w:val="00FD41C4"/>
    <w:rsid w:val="00FE092A"/>
    <w:rsid w:val="00FE0A18"/>
    <w:rsid w:val="00FE1F8E"/>
    <w:rsid w:val="00FE2969"/>
    <w:rsid w:val="00FE3326"/>
    <w:rsid w:val="00FE455C"/>
    <w:rsid w:val="00FE5522"/>
    <w:rsid w:val="00FE728B"/>
    <w:rsid w:val="00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2E8"/>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1022</TotalTime>
  <Pages>3</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126</cp:revision>
  <dcterms:created xsi:type="dcterms:W3CDTF">2022-04-11T01:34:00Z</dcterms:created>
  <dcterms:modified xsi:type="dcterms:W3CDTF">2023-04-07T19:29:00Z</dcterms:modified>
</cp:coreProperties>
</file>